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tabs>
          <w:tab w:val="left" w:pos="2300"/>
          <w:tab w:val="left" w:pos="5660"/>
        </w:tabs>
        <w:autoSpaceDE w:val="0"/>
        <w:autoSpaceDN w:val="0"/>
        <w:adjustRightInd w:val="0"/>
        <w:spacing w:before="0" w:beforeAutospacing="0" w:after="0" w:afterAutospacing="0" w:line="520" w:lineRule="exact"/>
        <w:ind w:left="0" w:right="-23"/>
        <w:jc w:val="center"/>
        <w:rPr>
          <w:rFonts w:hint="eastAsia" w:ascii="宋体" w:hAnsi="宋体" w:eastAsia="宋体" w:cs="宋体"/>
          <w:b/>
          <w:bCs w:val="0"/>
          <w:kern w:val="0"/>
          <w:sz w:val="32"/>
          <w:szCs w:val="32"/>
          <w:lang w:val="en-US"/>
        </w:rPr>
      </w:pPr>
      <w:r>
        <w:rPr>
          <w:rFonts w:hint="eastAsia" w:ascii="宋体" w:hAnsi="宋体" w:eastAsia="宋体" w:cs="宋体"/>
          <w:b/>
          <w:bCs w:val="0"/>
          <w:kern w:val="0"/>
          <w:sz w:val="32"/>
          <w:szCs w:val="32"/>
          <w:lang w:val="en-US" w:eastAsia="zh-CN" w:bidi="ar"/>
        </w:rPr>
        <w:t>河南省资源环境调查四院河南省煤层气资源先导性开发试验</w:t>
      </w:r>
    </w:p>
    <w:p>
      <w:pPr>
        <w:keepNext w:val="0"/>
        <w:keepLines w:val="0"/>
        <w:widowControl w:val="0"/>
        <w:suppressLineNumbers w:val="0"/>
        <w:tabs>
          <w:tab w:val="left" w:pos="2300"/>
          <w:tab w:val="left" w:pos="5660"/>
        </w:tabs>
        <w:autoSpaceDE w:val="0"/>
        <w:autoSpaceDN w:val="0"/>
        <w:adjustRightInd w:val="0"/>
        <w:spacing w:before="0" w:beforeAutospacing="0" w:after="0" w:afterAutospacing="0" w:line="520" w:lineRule="exact"/>
        <w:ind w:left="0" w:right="-23"/>
        <w:jc w:val="center"/>
        <w:rPr>
          <w:rFonts w:hint="eastAsia" w:ascii="宋体" w:hAnsi="宋体" w:eastAsia="宋体" w:cs="宋体"/>
          <w:b/>
          <w:bCs w:val="0"/>
          <w:kern w:val="0"/>
          <w:sz w:val="32"/>
          <w:szCs w:val="32"/>
          <w:lang w:val="en-US"/>
        </w:rPr>
      </w:pPr>
      <w:r>
        <w:rPr>
          <w:rFonts w:hint="eastAsia" w:ascii="宋体" w:hAnsi="宋体" w:eastAsia="宋体" w:cs="宋体"/>
          <w:b/>
          <w:bCs w:val="0"/>
          <w:kern w:val="0"/>
          <w:sz w:val="32"/>
          <w:szCs w:val="32"/>
          <w:lang w:val="en-US" w:eastAsia="zh-CN" w:bidi="ar"/>
        </w:rPr>
        <w:t>平顶山区块钻井工程燃油集中采购项目（二次）</w:t>
      </w:r>
    </w:p>
    <w:p>
      <w:pPr>
        <w:keepNext w:val="0"/>
        <w:keepLines w:val="0"/>
        <w:widowControl w:val="0"/>
        <w:suppressLineNumbers w:val="0"/>
        <w:tabs>
          <w:tab w:val="left" w:pos="2300"/>
          <w:tab w:val="left" w:pos="5660"/>
        </w:tabs>
        <w:autoSpaceDE w:val="0"/>
        <w:autoSpaceDN w:val="0"/>
        <w:adjustRightInd w:val="0"/>
        <w:spacing w:before="0" w:beforeAutospacing="0" w:after="0" w:afterAutospacing="0" w:line="520" w:lineRule="exact"/>
        <w:ind w:left="0" w:right="-23"/>
        <w:jc w:val="center"/>
        <w:rPr>
          <w:rFonts w:hint="eastAsia" w:ascii="宋体" w:hAnsi="宋体" w:eastAsia="宋体" w:cs="宋体"/>
          <w:b/>
          <w:bCs w:val="0"/>
          <w:sz w:val="32"/>
          <w:szCs w:val="32"/>
          <w:lang w:val="en-US"/>
        </w:rPr>
      </w:pPr>
      <w:r>
        <w:rPr>
          <w:rFonts w:hint="eastAsia" w:ascii="宋体" w:hAnsi="宋体" w:eastAsia="宋体" w:cs="宋体"/>
          <w:b/>
          <w:kern w:val="0"/>
          <w:sz w:val="32"/>
          <w:szCs w:val="32"/>
          <w:lang w:val="en-US" w:eastAsia="zh-CN" w:bidi="ar"/>
        </w:rPr>
        <w:t>竞争性磋商</w:t>
      </w:r>
      <w:r>
        <w:rPr>
          <w:rFonts w:hint="eastAsia" w:ascii="宋体" w:hAnsi="宋体" w:eastAsia="宋体" w:cs="宋体"/>
          <w:b/>
          <w:bCs w:val="0"/>
          <w:kern w:val="0"/>
          <w:sz w:val="32"/>
          <w:szCs w:val="32"/>
          <w:lang w:val="en-US" w:eastAsia="zh-CN" w:bidi="ar"/>
        </w:rPr>
        <w:t>公告</w:t>
      </w:r>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kern w:val="0"/>
          <w:sz w:val="24"/>
          <w:szCs w:val="24"/>
          <w:lang w:val="en-US"/>
        </w:rPr>
      </w:pPr>
      <w:r>
        <w:rPr>
          <w:rFonts w:hint="eastAsia" w:ascii="宋体" w:hAnsi="宋体" w:eastAsia="宋体" w:cs="宋体"/>
          <w:b/>
          <w:snapToGrid w:val="0"/>
          <w:kern w:val="0"/>
          <w:sz w:val="24"/>
          <w:szCs w:val="24"/>
          <w:lang w:val="en-US" w:eastAsia="zh-CN" w:bidi="ar"/>
        </w:rPr>
        <w:t>一、项目基本情况：</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bCs/>
          <w:sz w:val="24"/>
          <w:szCs w:val="24"/>
          <w:shd w:val="clear" w:fill="FFFFFF"/>
          <w:lang w:val="en-US"/>
        </w:rPr>
      </w:pPr>
      <w:r>
        <w:rPr>
          <w:rFonts w:hint="eastAsia" w:ascii="宋体" w:hAnsi="宋体" w:eastAsia="宋体" w:cs="宋体"/>
          <w:bCs/>
          <w:kern w:val="2"/>
          <w:sz w:val="24"/>
          <w:szCs w:val="24"/>
          <w:shd w:val="clear" w:fill="FFFFFF"/>
          <w:lang w:val="en-US" w:eastAsia="zh-CN" w:bidi="ar"/>
        </w:rPr>
        <w:t>项目</w:t>
      </w:r>
      <w:r>
        <w:rPr>
          <w:rFonts w:hint="eastAsia" w:ascii="宋体" w:hAnsi="宋体" w:eastAsia="宋体" w:cs="宋体"/>
          <w:kern w:val="2"/>
          <w:sz w:val="24"/>
          <w:szCs w:val="24"/>
          <w:shd w:val="clear" w:fill="FFFFFF"/>
          <w:lang w:val="en-US" w:eastAsia="zh-CN" w:bidi="ar"/>
        </w:rPr>
        <w:t>编号：豫财磋商采购-2020-663</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bCs/>
          <w:kern w:val="2"/>
          <w:sz w:val="24"/>
          <w:szCs w:val="24"/>
          <w:shd w:val="clear" w:fill="FFFFFF"/>
          <w:lang w:val="en-US" w:eastAsia="zh-CN" w:bidi="ar"/>
        </w:rPr>
        <w:t>项目名称：</w:t>
      </w:r>
      <w:r>
        <w:rPr>
          <w:rFonts w:hint="eastAsia" w:ascii="宋体" w:hAnsi="宋体" w:eastAsia="宋体" w:cs="宋体"/>
          <w:kern w:val="0"/>
          <w:sz w:val="24"/>
          <w:szCs w:val="24"/>
          <w:shd w:val="clear" w:fill="FFFFFF"/>
          <w:lang w:val="en-US" w:eastAsia="zh-CN" w:bidi="ar"/>
        </w:rPr>
        <w:t>河南省资源环境调查四院河南省煤层气资源先导性开发试验平顶山区块钻井工程燃油集中采购项目（二次））</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预算金额：189.75万元</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最高限价：189.75万元</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采购需求：平顶山区块煤层气水平对接井组（2口井）钻井施工设备使用燃油（国标-10#柴油，含运输费）。</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合同履行期限（服务期限）：自本服务开始至项目结束。</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交货日期：每次接到招标人通知起2日历天。</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交货地点：河南省许昌市襄城县紫云镇。</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本项目不接受联合体。</w:t>
      </w:r>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二、申请人资格要求：</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1．满足《中华人民共和国政府采购法》第二十二条规定；</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u w:val="single"/>
          <w:shd w:val="clear" w:fill="FFFFFF"/>
          <w:lang w:val="en-US"/>
        </w:rPr>
      </w:pPr>
      <w:r>
        <w:rPr>
          <w:rFonts w:hint="eastAsia" w:ascii="宋体" w:hAnsi="宋体" w:eastAsia="宋体" w:cs="宋体"/>
          <w:kern w:val="2"/>
          <w:sz w:val="24"/>
          <w:szCs w:val="24"/>
          <w:shd w:val="clear" w:fill="FFFFFF"/>
          <w:lang w:val="en-US" w:eastAsia="zh-CN" w:bidi="ar"/>
        </w:rPr>
        <w:t>2．落实政府采购政策满足的资格要求：</w:t>
      </w:r>
      <w:r>
        <w:rPr>
          <w:rFonts w:hint="eastAsia" w:ascii="宋体" w:hAnsi="宋体" w:eastAsia="宋体" w:cs="宋体"/>
          <w:kern w:val="2"/>
          <w:sz w:val="24"/>
          <w:szCs w:val="24"/>
          <w:u w:val="single"/>
          <w:shd w:val="clear" w:fill="FFFFFF"/>
          <w:lang w:val="en-US" w:eastAsia="zh-CN" w:bidi="ar"/>
        </w:rPr>
        <w:t xml:space="preserve">  无  </w:t>
      </w:r>
      <w:r>
        <w:rPr>
          <w:rFonts w:hint="eastAsia" w:ascii="宋体" w:hAnsi="宋体" w:eastAsia="宋体" w:cs="宋体"/>
          <w:kern w:val="2"/>
          <w:sz w:val="24"/>
          <w:szCs w:val="24"/>
          <w:shd w:val="clear" w:fill="FFFFFF"/>
          <w:lang w:val="en-US" w:eastAsia="zh-CN" w:bidi="ar"/>
        </w:rPr>
        <w:t>；</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bCs/>
          <w:kern w:val="0"/>
          <w:sz w:val="24"/>
          <w:szCs w:val="24"/>
          <w:shd w:val="clear" w:fill="FFFFFF"/>
          <w:lang w:val="en-US"/>
        </w:rPr>
      </w:pPr>
      <w:r>
        <w:rPr>
          <w:rFonts w:hint="eastAsia" w:ascii="宋体" w:hAnsi="宋体" w:eastAsia="宋体" w:cs="宋体"/>
          <w:kern w:val="2"/>
          <w:sz w:val="24"/>
          <w:szCs w:val="24"/>
          <w:shd w:val="clear" w:fill="FFFFFF"/>
          <w:lang w:val="en-US" w:eastAsia="zh-CN" w:bidi="ar"/>
        </w:rPr>
        <w:t>3．</w:t>
      </w:r>
      <w:r>
        <w:rPr>
          <w:rFonts w:hint="eastAsia" w:ascii="宋体" w:hAnsi="宋体" w:eastAsia="宋体" w:cs="宋体"/>
          <w:bCs/>
          <w:snapToGrid w:val="0"/>
          <w:kern w:val="0"/>
          <w:sz w:val="24"/>
          <w:szCs w:val="24"/>
          <w:shd w:val="clear" w:fill="FFFFFF"/>
          <w:lang w:val="en-US" w:eastAsia="zh-CN" w:bidi="ar"/>
        </w:rPr>
        <w:t>本项目的特定资格要求：</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bCs/>
          <w:kern w:val="0"/>
          <w:sz w:val="24"/>
          <w:szCs w:val="24"/>
          <w:shd w:val="clear" w:fill="FFFFFF"/>
          <w:lang w:val="en-US"/>
        </w:rPr>
      </w:pPr>
      <w:r>
        <w:rPr>
          <w:rFonts w:hint="eastAsia" w:ascii="宋体" w:hAnsi="宋体" w:eastAsia="宋体" w:cs="宋体"/>
          <w:bCs/>
          <w:snapToGrid w:val="0"/>
          <w:kern w:val="0"/>
          <w:sz w:val="24"/>
          <w:szCs w:val="24"/>
          <w:shd w:val="clear" w:fill="FFFFFF"/>
          <w:lang w:val="en-US" w:eastAsia="zh-CN" w:bidi="ar"/>
        </w:rPr>
        <w:t>3.1 具有独立法人资格，具备有效的企业法人营业执照和道路运输经营许可证；</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bCs/>
          <w:kern w:val="0"/>
          <w:sz w:val="24"/>
          <w:szCs w:val="24"/>
          <w:shd w:val="clear" w:fill="FFFFFF"/>
          <w:lang w:val="en-US"/>
        </w:rPr>
      </w:pPr>
      <w:r>
        <w:rPr>
          <w:rFonts w:hint="eastAsia" w:ascii="宋体" w:hAnsi="宋体" w:eastAsia="宋体" w:cs="宋体"/>
          <w:bCs/>
          <w:snapToGrid w:val="0"/>
          <w:kern w:val="0"/>
          <w:sz w:val="24"/>
          <w:szCs w:val="24"/>
          <w:shd w:val="clear" w:fill="FFFFFF"/>
          <w:lang w:val="en-US" w:eastAsia="zh-CN" w:bidi="ar"/>
        </w:rPr>
        <w:t>3.2 具有良好的商业信誉和健全的财务会计管理制度（提供</w:t>
      </w:r>
      <w:r>
        <w:rPr>
          <w:rFonts w:hint="eastAsia" w:ascii="宋体" w:hAnsi="宋体" w:eastAsia="宋体" w:cs="宋体"/>
          <w:bCs/>
          <w:kern w:val="0"/>
          <w:sz w:val="24"/>
          <w:szCs w:val="24"/>
          <w:shd w:val="clear" w:fill="FFFFFF"/>
          <w:lang w:val="en-US" w:eastAsia="zh-CN" w:bidi="ar"/>
        </w:rPr>
        <w:t>2019</w:t>
      </w:r>
      <w:r>
        <w:rPr>
          <w:rFonts w:hint="eastAsia" w:ascii="宋体" w:hAnsi="宋体" w:eastAsia="宋体" w:cs="宋体"/>
          <w:bCs/>
          <w:snapToGrid w:val="0"/>
          <w:kern w:val="0"/>
          <w:sz w:val="24"/>
          <w:szCs w:val="24"/>
          <w:shd w:val="clear" w:fill="FFFFFF"/>
          <w:lang w:val="en-US" w:eastAsia="zh-CN" w:bidi="ar"/>
        </w:rPr>
        <w:t>年度经会计师事务所审计出具的财务报告；成立不足一年的，按实际提供，新成立企业提供银行出具的资信证明）；</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bCs/>
          <w:kern w:val="0"/>
          <w:sz w:val="24"/>
          <w:szCs w:val="24"/>
          <w:shd w:val="clear" w:fill="FFFFFF"/>
          <w:lang w:val="en-US"/>
        </w:rPr>
      </w:pPr>
      <w:r>
        <w:rPr>
          <w:rFonts w:hint="eastAsia" w:ascii="宋体" w:hAnsi="宋体" w:eastAsia="宋体" w:cs="宋体"/>
          <w:bCs/>
          <w:snapToGrid w:val="0"/>
          <w:kern w:val="0"/>
          <w:sz w:val="24"/>
          <w:szCs w:val="24"/>
          <w:shd w:val="clear" w:fill="FFFFFF"/>
          <w:lang w:val="en-US" w:eastAsia="zh-CN" w:bidi="ar"/>
        </w:rPr>
        <w:t>3.3 具有依法缴纳税收和社会保障资金的相关材料（提供企业</w:t>
      </w:r>
      <w:r>
        <w:rPr>
          <w:rFonts w:hint="eastAsia" w:ascii="宋体" w:hAnsi="宋体" w:eastAsia="宋体" w:cs="宋体"/>
          <w:bCs/>
          <w:kern w:val="0"/>
          <w:sz w:val="24"/>
          <w:szCs w:val="24"/>
          <w:shd w:val="clear" w:fill="FFFFFF"/>
          <w:lang w:val="en-US" w:eastAsia="zh-CN" w:bidi="ar"/>
        </w:rPr>
        <w:t>2019</w:t>
      </w:r>
      <w:r>
        <w:rPr>
          <w:rFonts w:hint="eastAsia" w:ascii="宋体" w:hAnsi="宋体" w:eastAsia="宋体" w:cs="宋体"/>
          <w:bCs/>
          <w:snapToGrid w:val="0"/>
          <w:kern w:val="0"/>
          <w:sz w:val="24"/>
          <w:szCs w:val="24"/>
          <w:shd w:val="clear" w:fill="FFFFFF"/>
          <w:lang w:val="en-US" w:eastAsia="zh-CN" w:bidi="ar"/>
        </w:rPr>
        <w:t>年</w:t>
      </w:r>
      <w:r>
        <w:rPr>
          <w:rFonts w:hint="eastAsia" w:ascii="宋体" w:hAnsi="宋体" w:eastAsia="宋体" w:cs="宋体"/>
          <w:bCs/>
          <w:kern w:val="0"/>
          <w:sz w:val="24"/>
          <w:szCs w:val="24"/>
          <w:shd w:val="clear" w:fill="FFFFFF"/>
          <w:lang w:val="en-US" w:eastAsia="zh-CN" w:bidi="ar"/>
        </w:rPr>
        <w:t>1</w:t>
      </w:r>
      <w:r>
        <w:rPr>
          <w:rFonts w:hint="eastAsia" w:ascii="宋体" w:hAnsi="宋体" w:eastAsia="宋体" w:cs="宋体"/>
          <w:bCs/>
          <w:snapToGrid w:val="0"/>
          <w:kern w:val="0"/>
          <w:sz w:val="24"/>
          <w:szCs w:val="24"/>
          <w:shd w:val="clear" w:fill="FFFFFF"/>
          <w:lang w:val="en-US" w:eastAsia="zh-CN" w:bidi="ar"/>
        </w:rPr>
        <w:t>月份以来任意一个月依法缴纳税收和社会保障资金的相关材料的原件扫描件；依法免税或不需要缴纳社会保障资金的供应商，应提供相应文件证明其依法免税或不需要缴纳社会保障金）；</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bCs/>
          <w:kern w:val="0"/>
          <w:sz w:val="24"/>
          <w:szCs w:val="24"/>
          <w:shd w:val="clear" w:fill="FFFFFF"/>
          <w:lang w:val="en-US"/>
        </w:rPr>
      </w:pPr>
      <w:r>
        <w:rPr>
          <w:rFonts w:hint="eastAsia" w:ascii="宋体" w:hAnsi="宋体" w:eastAsia="宋体" w:cs="宋体"/>
          <w:bCs/>
          <w:snapToGrid w:val="0"/>
          <w:kern w:val="0"/>
          <w:sz w:val="24"/>
          <w:szCs w:val="24"/>
          <w:shd w:val="clear" w:fill="FFFFFF"/>
          <w:lang w:val="en-US" w:eastAsia="zh-CN" w:bidi="ar"/>
        </w:rPr>
        <w:t>3.4 参加政府采购活动前三年内在经营活动中没有重大违法、违纪行为。</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bCs/>
          <w:sz w:val="24"/>
          <w:szCs w:val="24"/>
          <w:shd w:val="clear" w:fill="FFFFFF"/>
          <w:lang w:val="en-US"/>
        </w:rPr>
      </w:pPr>
      <w:r>
        <w:rPr>
          <w:rFonts w:hint="eastAsia" w:ascii="宋体" w:hAnsi="宋体" w:eastAsia="宋体" w:cs="宋体"/>
          <w:bCs/>
          <w:snapToGrid w:val="0"/>
          <w:kern w:val="2"/>
          <w:sz w:val="24"/>
          <w:szCs w:val="24"/>
          <w:shd w:val="clear" w:fill="FFFFFF"/>
          <w:lang w:val="en-US" w:eastAsia="zh-CN" w:bidi="ar"/>
        </w:rPr>
        <w:t>3.5根据《关于在政府采购活动中查询及使用信用记录有关问题的通知》</w:t>
      </w:r>
      <w:r>
        <w:rPr>
          <w:rFonts w:hint="eastAsia" w:ascii="宋体" w:hAnsi="宋体" w:eastAsia="宋体" w:cs="宋体"/>
          <w:bCs/>
          <w:kern w:val="2"/>
          <w:sz w:val="24"/>
          <w:szCs w:val="24"/>
          <w:shd w:val="clear" w:fill="FFFFFF"/>
          <w:lang w:val="en-US" w:eastAsia="zh-CN" w:bidi="ar"/>
        </w:rPr>
        <w:t>(</w:t>
      </w:r>
      <w:r>
        <w:rPr>
          <w:rFonts w:hint="eastAsia" w:ascii="宋体" w:hAnsi="宋体" w:eastAsia="宋体" w:cs="宋体"/>
          <w:bCs/>
          <w:snapToGrid w:val="0"/>
          <w:kern w:val="2"/>
          <w:sz w:val="24"/>
          <w:szCs w:val="24"/>
          <w:shd w:val="clear" w:fill="FFFFFF"/>
          <w:lang w:val="en-US" w:eastAsia="zh-CN" w:bidi="ar"/>
        </w:rPr>
        <w:t>财库</w:t>
      </w:r>
      <w:r>
        <w:rPr>
          <w:rFonts w:hint="eastAsia" w:ascii="宋体" w:hAnsi="宋体" w:eastAsia="宋体" w:cs="宋体"/>
          <w:bCs/>
          <w:kern w:val="2"/>
          <w:sz w:val="24"/>
          <w:szCs w:val="24"/>
          <w:shd w:val="clear" w:fill="FFFFFF"/>
          <w:lang w:val="en-US" w:eastAsia="zh-CN" w:bidi="ar"/>
        </w:rPr>
        <w:t>[2016]125</w:t>
      </w:r>
      <w:r>
        <w:rPr>
          <w:rFonts w:hint="eastAsia" w:ascii="宋体" w:hAnsi="宋体" w:eastAsia="宋体" w:cs="宋体"/>
          <w:bCs/>
          <w:snapToGrid w:val="0"/>
          <w:kern w:val="2"/>
          <w:sz w:val="24"/>
          <w:szCs w:val="24"/>
          <w:shd w:val="clear" w:fill="FFFFFF"/>
          <w:lang w:val="en-US" w:eastAsia="zh-CN" w:bidi="ar"/>
        </w:rPr>
        <w:t>号</w:t>
      </w:r>
      <w:r>
        <w:rPr>
          <w:rFonts w:hint="eastAsia" w:ascii="宋体" w:hAnsi="宋体" w:eastAsia="宋体" w:cs="宋体"/>
          <w:bCs/>
          <w:kern w:val="2"/>
          <w:sz w:val="24"/>
          <w:szCs w:val="24"/>
          <w:shd w:val="clear" w:fill="FFFFFF"/>
          <w:lang w:val="en-US" w:eastAsia="zh-CN" w:bidi="ar"/>
        </w:rPr>
        <w:t>)</w:t>
      </w:r>
      <w:r>
        <w:rPr>
          <w:rFonts w:hint="eastAsia" w:ascii="宋体" w:hAnsi="宋体" w:eastAsia="宋体" w:cs="宋体"/>
          <w:bCs/>
          <w:snapToGrid w:val="0"/>
          <w:kern w:val="2"/>
          <w:sz w:val="24"/>
          <w:szCs w:val="24"/>
          <w:shd w:val="clear" w:fill="FFFFFF"/>
          <w:lang w:val="en-US" w:eastAsia="zh-CN" w:bidi="ar"/>
        </w:rPr>
        <w:t>和豫财购【</w:t>
      </w:r>
      <w:r>
        <w:rPr>
          <w:rFonts w:hint="eastAsia" w:ascii="宋体" w:hAnsi="宋体" w:eastAsia="宋体" w:cs="宋体"/>
          <w:bCs/>
          <w:kern w:val="2"/>
          <w:sz w:val="24"/>
          <w:szCs w:val="24"/>
          <w:shd w:val="clear" w:fill="FFFFFF"/>
          <w:lang w:val="en-US" w:eastAsia="zh-CN" w:bidi="ar"/>
        </w:rPr>
        <w:t>2016</w:t>
      </w:r>
      <w:r>
        <w:rPr>
          <w:rFonts w:hint="eastAsia" w:ascii="宋体" w:hAnsi="宋体" w:eastAsia="宋体" w:cs="宋体"/>
          <w:bCs/>
          <w:snapToGrid w:val="0"/>
          <w:kern w:val="2"/>
          <w:sz w:val="24"/>
          <w:szCs w:val="24"/>
          <w:shd w:val="clear" w:fill="FFFFFF"/>
          <w:lang w:val="en-US" w:eastAsia="zh-CN" w:bidi="ar"/>
        </w:rPr>
        <w:t>】</w:t>
      </w:r>
      <w:r>
        <w:rPr>
          <w:rFonts w:hint="eastAsia" w:ascii="宋体" w:hAnsi="宋体" w:eastAsia="宋体" w:cs="宋体"/>
          <w:bCs/>
          <w:kern w:val="2"/>
          <w:sz w:val="24"/>
          <w:szCs w:val="24"/>
          <w:shd w:val="clear" w:fill="FFFFFF"/>
          <w:lang w:val="en-US" w:eastAsia="zh-CN" w:bidi="ar"/>
        </w:rPr>
        <w:t>15</w:t>
      </w:r>
      <w:r>
        <w:rPr>
          <w:rFonts w:hint="eastAsia" w:ascii="宋体" w:hAnsi="宋体" w:eastAsia="宋体" w:cs="宋体"/>
          <w:bCs/>
          <w:snapToGrid w:val="0"/>
          <w:kern w:val="2"/>
          <w:sz w:val="24"/>
          <w:szCs w:val="24"/>
          <w:shd w:val="clear" w:fill="FFFFFF"/>
          <w:lang w:val="en-US" w:eastAsia="zh-CN" w:bidi="ar"/>
        </w:rPr>
        <w:t>号的规定，对列入失信被执行人和重大税收违法案件当事人名单（查询网址“信用中国”网（</w:t>
      </w:r>
      <w:r>
        <w:rPr>
          <w:rFonts w:hint="eastAsia" w:ascii="宋体" w:hAnsi="宋体" w:eastAsia="宋体" w:cs="宋体"/>
          <w:bCs/>
          <w:kern w:val="2"/>
          <w:sz w:val="24"/>
          <w:szCs w:val="24"/>
          <w:shd w:val="clear" w:fill="FFFFFF"/>
          <w:lang w:val="en-US" w:eastAsia="zh-CN" w:bidi="ar"/>
        </w:rPr>
        <w:t>www.creditchina.gov.cn</w:t>
      </w:r>
      <w:r>
        <w:rPr>
          <w:rFonts w:hint="eastAsia" w:ascii="宋体" w:hAnsi="宋体" w:eastAsia="宋体" w:cs="宋体"/>
          <w:bCs/>
          <w:snapToGrid w:val="0"/>
          <w:kern w:val="2"/>
          <w:sz w:val="24"/>
          <w:szCs w:val="24"/>
          <w:shd w:val="clear" w:fill="FFFFFF"/>
          <w:lang w:val="en-US" w:eastAsia="zh-CN" w:bidi="ar"/>
        </w:rPr>
        <w:t>））、政府采购严重违法失信行为记录名单（查询网址“中国政府采购”网（</w:t>
      </w:r>
      <w:r>
        <w:rPr>
          <w:rFonts w:hint="eastAsia" w:ascii="宋体" w:hAnsi="宋体" w:eastAsia="宋体" w:cs="宋体"/>
          <w:bCs/>
          <w:kern w:val="2"/>
          <w:sz w:val="24"/>
          <w:szCs w:val="24"/>
          <w:shd w:val="clear" w:fill="FFFFFF"/>
          <w:lang w:val="en-US" w:eastAsia="zh-CN" w:bidi="ar"/>
        </w:rPr>
        <w:t>www.ccgp.gov.cn</w:t>
      </w:r>
      <w:r>
        <w:rPr>
          <w:rFonts w:hint="eastAsia" w:ascii="宋体" w:hAnsi="宋体" w:eastAsia="宋体" w:cs="宋体"/>
          <w:bCs/>
          <w:snapToGrid w:val="0"/>
          <w:kern w:val="2"/>
          <w:sz w:val="24"/>
          <w:szCs w:val="24"/>
          <w:shd w:val="clear" w:fill="FFFFFF"/>
          <w:lang w:val="en-US" w:eastAsia="zh-CN" w:bidi="ar"/>
        </w:rPr>
        <w:t>））的供应商，拒绝其参与本磋商项目；供应商应提供磋商文件发售日至响应文件提交截止日期间在“信用中国”网、“中国政府采购”网查询的结果。</w:t>
      </w:r>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三、获取采购文件：</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时间：</w:t>
      </w:r>
      <w:r>
        <w:rPr>
          <w:rFonts w:hint="eastAsia" w:ascii="宋体" w:hAnsi="宋体" w:eastAsia="宋体" w:cs="宋体"/>
          <w:kern w:val="0"/>
          <w:sz w:val="24"/>
          <w:szCs w:val="24"/>
          <w:shd w:val="clear" w:fill="FFFFFF"/>
          <w:lang w:val="en-US" w:eastAsia="zh-CN" w:bidi="ar"/>
        </w:rPr>
        <w:t>2021年1月14日至2021年1月21日</w:t>
      </w:r>
      <w:r>
        <w:rPr>
          <w:rFonts w:hint="eastAsia" w:ascii="宋体" w:hAnsi="宋体" w:eastAsia="宋体" w:cs="Arabic Typesetting"/>
          <w:kern w:val="0"/>
          <w:sz w:val="24"/>
          <w:szCs w:val="24"/>
          <w:shd w:val="clear" w:fill="FFFFFF"/>
          <w:lang w:val="en-US" w:eastAsia="zh-CN" w:bidi="ar"/>
        </w:rPr>
        <w:t>（北京时间）</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地点：</w:t>
      </w:r>
      <w:r>
        <w:rPr>
          <w:rFonts w:hint="eastAsia" w:ascii="宋体" w:hAnsi="宋体" w:eastAsia="宋体" w:cs="Arabic Typesetting"/>
          <w:kern w:val="0"/>
          <w:sz w:val="24"/>
          <w:szCs w:val="24"/>
          <w:shd w:val="clear" w:fill="FFFFFF"/>
          <w:lang w:val="en-US" w:eastAsia="zh-CN" w:bidi="ar"/>
        </w:rPr>
        <w:t>河南省公共资源交易网（</w:t>
      </w:r>
      <w:r>
        <w:rPr>
          <w:rFonts w:hint="default" w:ascii="Times New Roman" w:hAnsi="Times New Roman" w:eastAsia="宋体" w:cs="Times New Roman"/>
          <w:kern w:val="2"/>
          <w:sz w:val="21"/>
          <w:szCs w:val="24"/>
          <w:shd w:val="clear" w:fill="FFFFFF"/>
          <w:lang w:val="en-US" w:eastAsia="zh-CN" w:bidi="ar"/>
        </w:rPr>
        <w:fldChar w:fldCharType="begin"/>
      </w:r>
      <w:r>
        <w:rPr>
          <w:rFonts w:hint="default" w:ascii="Times New Roman" w:hAnsi="Times New Roman" w:eastAsia="宋体" w:cs="Times New Roman"/>
          <w:kern w:val="2"/>
          <w:sz w:val="21"/>
          <w:szCs w:val="24"/>
          <w:shd w:val="clear" w:fill="FFFFFF"/>
          <w:lang w:val="en-US" w:eastAsia="zh-CN" w:bidi="ar"/>
        </w:rPr>
        <w:instrText xml:space="preserve"> HYPERLINK "http://www.hnggzy.com" </w:instrText>
      </w:r>
      <w:r>
        <w:rPr>
          <w:rFonts w:hint="default" w:ascii="Times New Roman" w:hAnsi="Times New Roman" w:eastAsia="宋体" w:cs="Times New Roman"/>
          <w:kern w:val="2"/>
          <w:sz w:val="21"/>
          <w:szCs w:val="24"/>
          <w:shd w:val="clear" w:fill="FFFFFF"/>
          <w:lang w:val="en-US" w:eastAsia="zh-CN" w:bidi="ar"/>
        </w:rPr>
        <w:fldChar w:fldCharType="separate"/>
      </w:r>
      <w:r>
        <w:rPr>
          <w:rStyle w:val="5"/>
          <w:rFonts w:hint="eastAsia" w:ascii="宋体" w:hAnsi="宋体" w:eastAsia="宋体" w:cs="Arabic Typesetting"/>
          <w:kern w:val="0"/>
          <w:sz w:val="24"/>
          <w:szCs w:val="24"/>
          <w:u w:val="single"/>
          <w:shd w:val="clear" w:fill="FFFFFF"/>
          <w:lang w:val="en-US"/>
        </w:rPr>
        <w:t>http://www.hnggzy.com</w:t>
      </w:r>
      <w:r>
        <w:rPr>
          <w:rFonts w:hint="default" w:ascii="Times New Roman" w:hAnsi="Times New Roman" w:eastAsia="宋体" w:cs="Times New Roman"/>
          <w:kern w:val="2"/>
          <w:sz w:val="21"/>
          <w:szCs w:val="24"/>
          <w:shd w:val="clear" w:fill="FFFFFF"/>
          <w:lang w:val="en-US" w:eastAsia="zh-CN" w:bidi="ar"/>
        </w:rPr>
        <w:fldChar w:fldCharType="end"/>
      </w:r>
      <w:r>
        <w:rPr>
          <w:rFonts w:hint="eastAsia" w:ascii="宋体" w:hAnsi="宋体" w:eastAsia="宋体" w:cs="Arabic Typesetting"/>
          <w:kern w:val="0"/>
          <w:sz w:val="24"/>
          <w:szCs w:val="24"/>
          <w:shd w:val="clear" w:fill="FFFFFF"/>
          <w:lang w:val="en-US" w:eastAsia="zh-CN" w:bidi="ar"/>
        </w:rPr>
        <w:t>）</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方式：</w:t>
      </w:r>
      <w:r>
        <w:rPr>
          <w:rFonts w:hint="eastAsia" w:ascii="宋体" w:hAnsi="宋体" w:eastAsia="宋体" w:cs="Arabic Typesetting"/>
          <w:kern w:val="0"/>
          <w:sz w:val="24"/>
          <w:szCs w:val="24"/>
          <w:shd w:val="clear" w:fill="FFFFFF"/>
          <w:lang w:val="en-US" w:eastAsia="zh-CN" w:bidi="ar"/>
        </w:rPr>
        <w:t>凭CA密钥登陆市场主体并按网上提示下载磋商文件及资料（详见http://www.hnggzy.com公共服务-办事指南）。</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售价：0元（</w:t>
      </w:r>
      <w:r>
        <w:rPr>
          <w:rFonts w:hint="eastAsia" w:ascii="Times New Roman" w:hAnsi="Times New Roman" w:eastAsia="宋体" w:cs="宋体"/>
          <w:kern w:val="0"/>
          <w:sz w:val="24"/>
          <w:szCs w:val="24"/>
          <w:shd w:val="clear" w:fill="FFFFFF"/>
          <w:lang w:val="en-US" w:eastAsia="zh-CN" w:bidi="ar"/>
        </w:rPr>
        <w:t>免费</w:t>
      </w:r>
      <w:r>
        <w:rPr>
          <w:rFonts w:hint="eastAsia" w:ascii="宋体" w:hAnsi="宋体" w:eastAsia="宋体" w:cs="宋体"/>
          <w:kern w:val="2"/>
          <w:sz w:val="24"/>
          <w:szCs w:val="24"/>
          <w:shd w:val="clear" w:fill="FFFFFF"/>
          <w:lang w:val="en-US" w:eastAsia="zh-CN" w:bidi="ar"/>
        </w:rPr>
        <w:t>）。</w:t>
      </w:r>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四、响应文件提交：</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截止时间：2021年1月25日9时整（北京时间）。</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地点：河南省公共资源交易中心交易系统（供应商须在磋商响应文件接收截止时间前将加密电子响应文件加密上传）。</w:t>
      </w:r>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五、开启：</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时间：2021年1月25日9时整（北京时间）。</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bidi="ar"/>
        </w:rPr>
        <w:t>地点：河南省公共资源交易中心远程开标室（三）。</w:t>
      </w:r>
      <w:bookmarkStart w:id="2" w:name="_GoBack"/>
      <w:bookmarkEnd w:id="2"/>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六、公告期限</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自本公告发布之日起3个工作日。</w:t>
      </w:r>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bCs w:val="0"/>
          <w:kern w:val="0"/>
          <w:sz w:val="24"/>
          <w:szCs w:val="24"/>
          <w:lang w:val="en-US"/>
        </w:rPr>
      </w:pPr>
      <w:bookmarkStart w:id="0" w:name="_Toc35393635"/>
      <w:bookmarkStart w:id="1" w:name="_Toc35393804"/>
      <w:r>
        <w:rPr>
          <w:rFonts w:hint="eastAsia" w:ascii="宋体" w:hAnsi="宋体" w:eastAsia="宋体" w:cs="宋体"/>
          <w:b/>
          <w:bCs w:val="0"/>
          <w:kern w:val="0"/>
          <w:sz w:val="24"/>
          <w:szCs w:val="24"/>
          <w:lang w:val="en-US" w:eastAsia="zh-CN" w:bidi="ar"/>
        </w:rPr>
        <w:t>七、其他补充事宜</w:t>
      </w:r>
      <w:bookmarkEnd w:id="0"/>
      <w:bookmarkEnd w:id="1"/>
    </w:p>
    <w:p>
      <w:pPr>
        <w:keepNext w:val="0"/>
        <w:keepLines w:val="0"/>
        <w:widowControl/>
        <w:suppressLineNumbers w:val="0"/>
        <w:spacing w:before="0" w:beforeAutospacing="0" w:after="0" w:afterAutospacing="0" w:line="48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7.1本公告同时在</w:t>
      </w:r>
      <w:r>
        <w:rPr>
          <w:rFonts w:hint="eastAsia" w:ascii="宋体" w:hAnsi="宋体" w:eastAsia="宋体" w:cs="宋体"/>
          <w:kern w:val="2"/>
          <w:sz w:val="24"/>
          <w:szCs w:val="24"/>
          <w:lang w:val="en-US" w:eastAsia="zh-CN" w:bidi="ar"/>
        </w:rPr>
        <w:t>《河南省政府采购网》、《河南省公共资源交易中心网站》、《中国招标投标公共服务平台》、《河南省电子招标投标公共服务平台》、《中国政府采购网》和《中国采购与招标网》上发布。</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7.2本项目有助于实现国家的经济和社会发展政策目标，包括优先采购节能环保、环境标志性产品、优先采购自主创新产品，扶持不发达地区和少数民族地区，促进中小企业、监狱企业、残疾人福利性企业发展等。</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7.3本项目采用“远程不见面”开标方式，远程开标大厅网（www.hnggzyjy.cn），供应商无需到河南省公共资源交易中心现场参加开标会议，无需到达现场提交原件资料。供应商应当在磋商响应文件递交截止时间前，登录远程开标大厅，在线准时参加开标活动并进行文件解密、答疑澄清等。不见面服务的具体事宜请查阅河南省公共资源交易中心网站“公共服务-办事指南”专区的《河南省公共资源交易平台不见面服务系统使用指南》。</w:t>
      </w:r>
    </w:p>
    <w:p>
      <w:pPr>
        <w:keepNext w:val="0"/>
        <w:keepLines w:val="0"/>
        <w:widowControl w:val="0"/>
        <w:suppressLineNumbers w:val="0"/>
        <w:adjustRightInd w:val="0"/>
        <w:spacing w:before="0" w:beforeAutospacing="0" w:after="0" w:afterAutospacing="0" w:line="48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八、凡对本次采购提出询问，请按以下方式联系</w:t>
      </w:r>
    </w:p>
    <w:p>
      <w:pPr>
        <w:keepNext w:val="0"/>
        <w:keepLines w:val="0"/>
        <w:widowControl/>
        <w:suppressLineNumbers w:val="0"/>
        <w:spacing w:before="0" w:beforeAutospacing="0" w:after="0" w:afterAutospacing="0" w:line="480" w:lineRule="exact"/>
        <w:ind w:left="0" w:right="0" w:firstLine="470" w:firstLineChars="196"/>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1.采购人信息：</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名    称：河南省资源环境调查四院</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地    址：郑州市郑东新区商鼎路70号</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联系方式：0371-61701339</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2.采购代理机构信息</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名    称：河南省机电设备招标股份有限公司</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地    址：郑州市商务外环路23号中科金座大厦（中原银行）8楼</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联系方式：0371－65928010、0371-65928032</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3.项目联系方式</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项目联系人：李家琪</w:t>
      </w:r>
    </w:p>
    <w:p>
      <w:pPr>
        <w:keepNext w:val="0"/>
        <w:keepLines w:val="0"/>
        <w:widowControl w:val="0"/>
        <w:suppressLineNumbers w:val="0"/>
        <w:shd w:val="clear" w:fill="FFFFFF"/>
        <w:spacing w:before="0" w:beforeAutospacing="0" w:after="0" w:afterAutospacing="0" w:line="480" w:lineRule="exact"/>
        <w:ind w:left="0" w:right="0" w:firstLine="480" w:firstLineChars="200"/>
        <w:jc w:val="both"/>
        <w:rPr>
          <w:rFonts w:hint="eastAsia" w:ascii="宋体" w:hAnsi="宋体" w:eastAsia="宋体" w:cs="宋体"/>
          <w:sz w:val="24"/>
          <w:szCs w:val="24"/>
          <w:shd w:val="clear" w:fill="FFFFFF"/>
          <w:lang w:val="en-US"/>
        </w:rPr>
      </w:pPr>
      <w:r>
        <w:rPr>
          <w:rFonts w:hint="eastAsia" w:ascii="宋体" w:hAnsi="宋体" w:eastAsia="宋体" w:cs="宋体"/>
          <w:kern w:val="2"/>
          <w:sz w:val="24"/>
          <w:szCs w:val="24"/>
          <w:shd w:val="clear" w:fill="FFFFFF"/>
          <w:lang w:val="en-US" w:eastAsia="zh-CN" w:bidi="ar"/>
        </w:rPr>
        <w:t>电      话：0371－65928010、0371-65928032</w:t>
      </w:r>
    </w:p>
    <w:p>
      <w:pPr>
        <w:keepNext w:val="0"/>
        <w:keepLines w:val="0"/>
        <w:widowControl/>
        <w:suppressLineNumbers w:val="0"/>
        <w:spacing w:before="0" w:beforeAutospacing="0" w:after="0" w:afterAutospacing="0" w:line="520" w:lineRule="exact"/>
        <w:ind w:left="0" w:right="0"/>
        <w:jc w:val="left"/>
        <w:rPr>
          <w:rFonts w:hint="eastAsia" w:ascii="宋体" w:hAnsi="宋体" w:eastAsia="宋体" w:cs="宋体"/>
          <w:kern w:val="0"/>
          <w:sz w:val="24"/>
          <w:szCs w:val="24"/>
          <w:shd w:val="clear" w:fill="FFFFFF"/>
          <w:lang w:val="en-US"/>
        </w:rPr>
      </w:pPr>
    </w:p>
    <w:p>
      <w:pPr>
        <w:keepNext w:val="0"/>
        <w:keepLines w:val="0"/>
        <w:widowControl/>
        <w:suppressLineNumbers w:val="0"/>
        <w:jc w:val="right"/>
      </w:pPr>
      <w:r>
        <w:rPr>
          <w:rFonts w:hint="eastAsia" w:ascii="宋体" w:hAnsi="宋体" w:eastAsia="宋体" w:cs="宋体"/>
          <w:kern w:val="2"/>
          <w:sz w:val="24"/>
          <w:szCs w:val="24"/>
          <w:lang w:val="en-US" w:eastAsia="zh-CN" w:bidi="ar"/>
        </w:rPr>
        <w:t>2021年1月13日</w:t>
      </w:r>
    </w:p>
    <w:p>
      <w:pPr>
        <w:jc w:val="right"/>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abic Typesetting">
    <w:panose1 w:val="03020402040406030203"/>
    <w:charset w:val="00"/>
    <w:family w:val="auto"/>
    <w:pitch w:val="default"/>
    <w:sig w:usb0="A000206F" w:usb1="C0000000" w:usb2="00000008" w:usb3="00000000" w:csb0="2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692797"/>
    <w:rsid w:val="7229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WPS_1536830555</cp:lastModifiedBy>
  <dcterms:modified xsi:type="dcterms:W3CDTF">2021-01-13T03:51:19Z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