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jc w:val="center"/>
        <w:rPr>
          <w:rFonts w:ascii="宋体" w:hAnsi="宋体" w:cs="仿宋_GB2312"/>
          <w:b/>
          <w:spacing w:val="-12"/>
          <w:kern w:val="0"/>
          <w:sz w:val="56"/>
          <w:szCs w:val="56"/>
        </w:rPr>
      </w:pPr>
    </w:p>
    <w:p>
      <w:pPr>
        <w:pStyle w:val="15"/>
        <w:ind w:firstLine="522"/>
        <w:jc w:val="center"/>
        <w:rPr>
          <w:sz w:val="40"/>
        </w:rPr>
      </w:pPr>
      <w:r>
        <w:rPr>
          <w:rFonts w:hint="eastAsia" w:ascii="宋体" w:hAnsi="宋体"/>
          <w:b/>
          <w:bCs/>
          <w:spacing w:val="-20"/>
          <w:sz w:val="56"/>
          <w:szCs w:val="32"/>
        </w:rPr>
        <w:t>鲁山县城南新区（和平农贸市场）垃圾中转站项目</w:t>
      </w:r>
    </w:p>
    <w:p>
      <w:pPr>
        <w:autoSpaceDE w:val="0"/>
        <w:autoSpaceDN w:val="0"/>
        <w:adjustRightInd w:val="0"/>
        <w:spacing w:after="156" w:afterLines="50"/>
        <w:jc w:val="center"/>
        <w:rPr>
          <w:rFonts w:ascii="宋体" w:hAnsi="宋体" w:cs="仿宋_GB2312"/>
          <w:b/>
          <w:bCs/>
          <w:spacing w:val="-12"/>
          <w:kern w:val="0"/>
          <w:sz w:val="44"/>
          <w:szCs w:val="44"/>
        </w:rPr>
      </w:pPr>
    </w:p>
    <w:p>
      <w:pPr>
        <w:autoSpaceDE w:val="0"/>
        <w:autoSpaceDN w:val="0"/>
        <w:adjustRightInd w:val="0"/>
        <w:spacing w:after="156" w:afterLines="50"/>
        <w:jc w:val="center"/>
        <w:rPr>
          <w:rFonts w:ascii="宋体" w:hAnsi="宋体" w:cs="仿宋_GB2312"/>
          <w:b/>
          <w:bCs/>
          <w:spacing w:val="-12"/>
          <w:kern w:val="0"/>
          <w:sz w:val="44"/>
          <w:szCs w:val="44"/>
        </w:rPr>
      </w:pPr>
    </w:p>
    <w:p>
      <w:pPr>
        <w:autoSpaceDE w:val="0"/>
        <w:autoSpaceDN w:val="0"/>
        <w:adjustRightInd w:val="0"/>
        <w:spacing w:after="156" w:afterLines="50"/>
        <w:jc w:val="center"/>
        <w:rPr>
          <w:rFonts w:ascii="宋体" w:hAnsi="宋体" w:cs="仿宋_GB2312"/>
          <w:b/>
          <w:bCs/>
          <w:spacing w:val="-12"/>
          <w:kern w:val="0"/>
          <w:sz w:val="44"/>
          <w:szCs w:val="44"/>
        </w:rPr>
      </w:pPr>
    </w:p>
    <w:p>
      <w:pPr>
        <w:autoSpaceDE w:val="0"/>
        <w:autoSpaceDN w:val="0"/>
        <w:adjustRightInd w:val="0"/>
        <w:spacing w:after="156" w:afterLines="50"/>
        <w:jc w:val="center"/>
        <w:rPr>
          <w:rFonts w:ascii="宋体" w:hAnsi="宋体" w:cs="仿宋_GB2312"/>
          <w:b/>
          <w:bCs/>
          <w:spacing w:val="-12"/>
          <w:kern w:val="0"/>
          <w:sz w:val="44"/>
          <w:szCs w:val="44"/>
        </w:rPr>
      </w:pPr>
      <w:r>
        <w:rPr>
          <w:rFonts w:hint="eastAsia" w:ascii="宋体" w:hAnsi="宋体" w:cs="仿宋_GB2312"/>
          <w:b/>
          <w:bCs/>
          <w:spacing w:val="-12"/>
          <w:kern w:val="0"/>
          <w:sz w:val="44"/>
          <w:szCs w:val="44"/>
        </w:rPr>
        <w:t>竞争性磋商文件</w:t>
      </w:r>
    </w:p>
    <w:p>
      <w:pPr>
        <w:tabs>
          <w:tab w:val="left" w:pos="6620"/>
        </w:tabs>
        <w:autoSpaceDE w:val="0"/>
        <w:autoSpaceDN w:val="0"/>
        <w:adjustRightInd w:val="0"/>
        <w:spacing w:line="360" w:lineRule="auto"/>
        <w:jc w:val="center"/>
        <w:rPr>
          <w:rFonts w:hint="default" w:ascii="宋体" w:hAnsi="宋体" w:eastAsia="宋体" w:cs="仿宋_GB2312"/>
          <w:kern w:val="0"/>
          <w:sz w:val="22"/>
          <w:szCs w:val="22"/>
          <w:lang w:val="en-US" w:eastAsia="zh-CN"/>
        </w:rPr>
      </w:pPr>
      <w:r>
        <w:rPr>
          <w:rFonts w:hint="eastAsia"/>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299720</wp:posOffset>
            </wp:positionV>
            <wp:extent cx="1981200" cy="1851025"/>
            <wp:effectExtent l="0" t="0" r="0" b="0"/>
            <wp:wrapNone/>
            <wp:docPr id="3" name="图片 3" descr="说明: 河南英典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河南英典徽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81200" cy="1851025"/>
                    </a:xfrm>
                    <a:prstGeom prst="rect">
                      <a:avLst/>
                    </a:prstGeom>
                    <a:noFill/>
                  </pic:spPr>
                </pic:pic>
              </a:graphicData>
            </a:graphic>
          </wp:anchor>
        </w:drawing>
      </w:r>
      <w:r>
        <w:rPr>
          <w:rFonts w:hint="eastAsia" w:ascii="宋体" w:hAnsi="宋体" w:cs="仿宋_GB2312"/>
          <w:sz w:val="22"/>
          <w:szCs w:val="22"/>
        </w:rPr>
        <w:t>采购编号：</w:t>
      </w:r>
      <w:r>
        <w:rPr>
          <w:rFonts w:hint="eastAsia" w:ascii="宋体" w:hAnsi="宋体"/>
          <w:kern w:val="0"/>
          <w:sz w:val="22"/>
          <w:szCs w:val="22"/>
        </w:rPr>
        <w:t>LZC2019-B</w:t>
      </w:r>
      <w:r>
        <w:rPr>
          <w:rFonts w:hint="eastAsia" w:ascii="宋体" w:hAnsi="宋体"/>
          <w:kern w:val="0"/>
          <w:sz w:val="22"/>
          <w:szCs w:val="22"/>
          <w:lang w:val="en-US" w:eastAsia="zh-CN"/>
        </w:rPr>
        <w:t>jc099</w:t>
      </w: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autoSpaceDE w:val="0"/>
        <w:autoSpaceDN w:val="0"/>
        <w:adjustRightInd w:val="0"/>
        <w:rPr>
          <w:rFonts w:ascii="宋体" w:hAnsi="宋体" w:cs="宋体"/>
          <w:kern w:val="0"/>
          <w:sz w:val="44"/>
          <w:szCs w:val="44"/>
        </w:rPr>
      </w:pPr>
    </w:p>
    <w:p>
      <w:pPr>
        <w:rPr>
          <w:b/>
          <w:sz w:val="28"/>
          <w:szCs w:val="28"/>
        </w:rPr>
      </w:pPr>
      <w:r>
        <w:rPr>
          <w:rFonts w:hint="eastAsia" w:ascii="宋体" w:hAnsi="宋体" w:cs="宋体"/>
          <w:b/>
          <w:bCs/>
          <w:sz w:val="28"/>
        </w:rPr>
        <w:t xml:space="preserve">              </w:t>
      </w:r>
      <w:r>
        <w:rPr>
          <w:rFonts w:hint="eastAsia"/>
          <w:b/>
          <w:sz w:val="28"/>
          <w:szCs w:val="28"/>
        </w:rPr>
        <w:t>采购单位：</w:t>
      </w:r>
      <w:r>
        <w:rPr>
          <w:rFonts w:hint="eastAsia" w:ascii="宋体" w:hAnsi="宋体"/>
          <w:b/>
          <w:bCs/>
          <w:spacing w:val="-20"/>
          <w:sz w:val="28"/>
          <w:szCs w:val="28"/>
        </w:rPr>
        <w:t xml:space="preserve">鲁山县生活垃圾处理场   </w:t>
      </w:r>
    </w:p>
    <w:p>
      <w:pPr>
        <w:ind w:firstLine="1968" w:firstLineChars="700"/>
        <w:rPr>
          <w:b/>
          <w:sz w:val="28"/>
          <w:szCs w:val="28"/>
        </w:rPr>
      </w:pPr>
      <w:r>
        <w:rPr>
          <w:rFonts w:hint="eastAsia"/>
          <w:b/>
          <w:sz w:val="28"/>
          <w:szCs w:val="28"/>
        </w:rPr>
        <w:t>采购代理机构：河南英典工程管理有限公司</w:t>
      </w:r>
    </w:p>
    <w:p>
      <w:pPr>
        <w:ind w:firstLine="1968" w:firstLineChars="700"/>
        <w:rPr>
          <w:b/>
          <w:sz w:val="28"/>
          <w:szCs w:val="28"/>
        </w:rPr>
      </w:pPr>
      <w:r>
        <w:rPr>
          <w:rFonts w:hint="eastAsia"/>
          <w:b/>
          <w:sz w:val="28"/>
          <w:szCs w:val="28"/>
        </w:rPr>
        <w:t>日</w:t>
      </w:r>
      <w:r>
        <w:rPr>
          <w:b/>
          <w:sz w:val="28"/>
          <w:szCs w:val="28"/>
        </w:rPr>
        <w:t xml:space="preserve">       </w:t>
      </w:r>
      <w:r>
        <w:rPr>
          <w:rFonts w:hint="eastAsia"/>
          <w:b/>
          <w:sz w:val="28"/>
          <w:szCs w:val="28"/>
        </w:rPr>
        <w:t>期：二〇一九年十</w:t>
      </w:r>
      <w:r>
        <w:rPr>
          <w:rFonts w:hint="eastAsia"/>
          <w:b/>
          <w:sz w:val="28"/>
          <w:szCs w:val="28"/>
          <w:lang w:eastAsia="zh-CN"/>
        </w:rPr>
        <w:t>一</w:t>
      </w:r>
      <w:r>
        <w:rPr>
          <w:rFonts w:hint="eastAsia"/>
          <w:b/>
          <w:sz w:val="28"/>
          <w:szCs w:val="28"/>
        </w:rPr>
        <w:t>月</w:t>
      </w:r>
      <w:bookmarkStart w:id="0" w:name="_Toc30233"/>
      <w:bookmarkStart w:id="1" w:name="_Toc4247"/>
    </w:p>
    <w:bookmarkEnd w:id="0"/>
    <w:bookmarkEnd w:id="1"/>
    <w:p>
      <w:pPr>
        <w:tabs>
          <w:tab w:val="left" w:pos="5675"/>
        </w:tabs>
        <w:jc w:val="left"/>
        <w:rPr>
          <w:bCs/>
        </w:rPr>
      </w:pPr>
      <w:r>
        <w:rPr>
          <w:bCs/>
        </w:rPr>
        <w:tab/>
      </w:r>
    </w:p>
    <w:p>
      <w:pPr>
        <w:jc w:val="center"/>
        <w:rPr>
          <w:b/>
          <w:sz w:val="28"/>
        </w:rPr>
      </w:pPr>
      <w:r>
        <w:rPr>
          <w:rFonts w:hint="eastAsia" w:ascii="宋体" w:hAnsi="宋体"/>
        </w:rPr>
        <w:br w:type="page"/>
      </w:r>
      <w:r>
        <w:rPr>
          <w:rFonts w:hint="eastAsia" w:ascii="宋体" w:hAnsi="宋体"/>
          <w:b/>
          <w:sz w:val="32"/>
        </w:rPr>
        <w:t>目录</w:t>
      </w:r>
    </w:p>
    <w:p>
      <w:pPr>
        <w:pStyle w:val="12"/>
        <w:tabs>
          <w:tab w:val="right" w:leader="dot" w:pos="9660"/>
        </w:tabs>
        <w:rPr>
          <w:sz w:val="28"/>
        </w:rPr>
      </w:pPr>
    </w:p>
    <w:p>
      <w:pPr>
        <w:pStyle w:val="12"/>
        <w:tabs>
          <w:tab w:val="right" w:leader="dot" w:pos="9660"/>
        </w:tabs>
        <w:rPr>
          <w:sz w:val="28"/>
        </w:rPr>
      </w:pPr>
    </w:p>
    <w:p>
      <w:pPr>
        <w:pStyle w:val="12"/>
        <w:tabs>
          <w:tab w:val="right" w:leader="dot" w:pos="9660"/>
        </w:tabs>
        <w:rPr>
          <w:sz w:val="28"/>
        </w:rPr>
      </w:pPr>
      <w:r>
        <w:rPr>
          <w:sz w:val="28"/>
        </w:rPr>
        <w:fldChar w:fldCharType="begin"/>
      </w:r>
      <w:r>
        <w:rPr>
          <w:sz w:val="28"/>
        </w:rPr>
        <w:instrText xml:space="preserve">TOC \o "1-3" \h \u </w:instrText>
      </w:r>
      <w:r>
        <w:rPr>
          <w:sz w:val="28"/>
        </w:rPr>
        <w:fldChar w:fldCharType="separate"/>
      </w:r>
      <w:r>
        <w:fldChar w:fldCharType="begin"/>
      </w:r>
      <w:r>
        <w:instrText xml:space="preserve"> HYPERLINK "file:///E:\\2019年招标项目\\7月\\0715\\董周乡殷庄村党群服务中心二次\\上传资料\\鲁山县董周乡殷庄村党群服务中心工程（二次）(第一标段)(招标文件).doc" \l "_Toc22589" </w:instrText>
      </w:r>
      <w:r>
        <w:fldChar w:fldCharType="separate"/>
      </w:r>
      <w:r>
        <w:rPr>
          <w:rStyle w:val="20"/>
          <w:rFonts w:hint="eastAsia"/>
          <w:bCs/>
          <w:sz w:val="28"/>
          <w:szCs w:val="36"/>
        </w:rPr>
        <w:t xml:space="preserve">第一章 </w:t>
      </w:r>
      <w:r>
        <w:rPr>
          <w:rStyle w:val="20"/>
          <w:bCs/>
          <w:sz w:val="28"/>
          <w:szCs w:val="36"/>
        </w:rPr>
        <w:t xml:space="preserve"> </w:t>
      </w:r>
      <w:r>
        <w:rPr>
          <w:rStyle w:val="20"/>
          <w:rFonts w:hint="eastAsia"/>
          <w:bCs/>
          <w:sz w:val="28"/>
          <w:szCs w:val="36"/>
        </w:rPr>
        <w:t>竞争性磋商公告</w:t>
      </w:r>
      <w:r>
        <w:rPr>
          <w:rStyle w:val="20"/>
          <w:sz w:val="28"/>
        </w:rPr>
        <w:tab/>
      </w:r>
      <w:r>
        <w:rPr>
          <w:rStyle w:val="20"/>
          <w:sz w:val="28"/>
        </w:rPr>
        <w:fldChar w:fldCharType="begin"/>
      </w:r>
      <w:r>
        <w:rPr>
          <w:rStyle w:val="20"/>
          <w:sz w:val="28"/>
        </w:rPr>
        <w:instrText xml:space="preserve"> PAGEREF _Toc22589 </w:instrText>
      </w:r>
      <w:r>
        <w:rPr>
          <w:rStyle w:val="20"/>
          <w:sz w:val="28"/>
        </w:rPr>
        <w:fldChar w:fldCharType="separate"/>
      </w:r>
      <w:r>
        <w:rPr>
          <w:rStyle w:val="20"/>
          <w:sz w:val="28"/>
        </w:rPr>
        <w:t>3</w:t>
      </w:r>
      <w:r>
        <w:rPr>
          <w:rStyle w:val="20"/>
          <w:sz w:val="28"/>
        </w:rPr>
        <w:fldChar w:fldCharType="end"/>
      </w:r>
      <w:r>
        <w:rPr>
          <w:rStyle w:val="20"/>
          <w:sz w:val="28"/>
        </w:rPr>
        <w:fldChar w:fldCharType="end"/>
      </w:r>
    </w:p>
    <w:p>
      <w:pPr>
        <w:pStyle w:val="12"/>
        <w:tabs>
          <w:tab w:val="right" w:leader="dot" w:pos="9660"/>
        </w:tabs>
        <w:rPr>
          <w:sz w:val="28"/>
        </w:rPr>
      </w:pPr>
      <w:r>
        <w:fldChar w:fldCharType="begin"/>
      </w:r>
      <w:r>
        <w:instrText xml:space="preserve"> HYPERLINK "file:///E:\\2019年招标项目\\7月\\0715\\董周乡殷庄村党群服务中心二次\\上传资料\\鲁山县董周乡殷庄村党群服务中心工程（二次）(第一标段)(招标文件).doc" \l "_Toc24711" </w:instrText>
      </w:r>
      <w:r>
        <w:fldChar w:fldCharType="separate"/>
      </w:r>
      <w:r>
        <w:rPr>
          <w:rStyle w:val="20"/>
          <w:rFonts w:hint="eastAsia"/>
          <w:bCs/>
          <w:sz w:val="28"/>
          <w:szCs w:val="36"/>
        </w:rPr>
        <w:t xml:space="preserve">第二章 </w:t>
      </w:r>
      <w:r>
        <w:rPr>
          <w:rStyle w:val="20"/>
          <w:bCs/>
          <w:sz w:val="28"/>
          <w:szCs w:val="36"/>
        </w:rPr>
        <w:t xml:space="preserve"> </w:t>
      </w:r>
      <w:r>
        <w:rPr>
          <w:rStyle w:val="20"/>
          <w:rFonts w:hint="eastAsia"/>
          <w:bCs/>
          <w:sz w:val="28"/>
          <w:szCs w:val="36"/>
        </w:rPr>
        <w:t>磋商须知</w:t>
      </w:r>
      <w:r>
        <w:rPr>
          <w:rStyle w:val="20"/>
          <w:sz w:val="28"/>
        </w:rPr>
        <w:tab/>
      </w:r>
      <w:r>
        <w:rPr>
          <w:rStyle w:val="20"/>
          <w:sz w:val="28"/>
        </w:rPr>
        <w:fldChar w:fldCharType="begin"/>
      </w:r>
      <w:r>
        <w:rPr>
          <w:rStyle w:val="20"/>
          <w:sz w:val="28"/>
        </w:rPr>
        <w:instrText xml:space="preserve"> PAGEREF _Toc24711 </w:instrText>
      </w:r>
      <w:r>
        <w:rPr>
          <w:rStyle w:val="20"/>
          <w:sz w:val="28"/>
        </w:rPr>
        <w:fldChar w:fldCharType="separate"/>
      </w:r>
      <w:r>
        <w:rPr>
          <w:rStyle w:val="20"/>
          <w:sz w:val="28"/>
        </w:rPr>
        <w:t>6</w:t>
      </w:r>
      <w:r>
        <w:rPr>
          <w:rStyle w:val="20"/>
          <w:sz w:val="28"/>
        </w:rPr>
        <w:fldChar w:fldCharType="end"/>
      </w:r>
      <w:r>
        <w:rPr>
          <w:rStyle w:val="20"/>
          <w:sz w:val="28"/>
        </w:rPr>
        <w:fldChar w:fldCharType="end"/>
      </w:r>
    </w:p>
    <w:p>
      <w:pPr>
        <w:pStyle w:val="12"/>
        <w:tabs>
          <w:tab w:val="right" w:leader="dot" w:pos="9660"/>
        </w:tabs>
        <w:rPr>
          <w:sz w:val="28"/>
        </w:rPr>
      </w:pPr>
      <w:r>
        <w:fldChar w:fldCharType="begin"/>
      </w:r>
      <w:r>
        <w:instrText xml:space="preserve"> HYPERLINK "file:///E:\\2019年招标项目\\7月\\0715\\董周乡殷庄村党群服务中心二次\\上传资料\\鲁山县董周乡殷庄村党群服务中心工程（二次）(第一标段)(招标文件).doc" \l "_Toc15431" </w:instrText>
      </w:r>
      <w:r>
        <w:fldChar w:fldCharType="separate"/>
      </w:r>
      <w:r>
        <w:rPr>
          <w:rStyle w:val="20"/>
          <w:rFonts w:hint="eastAsia"/>
          <w:sz w:val="28"/>
          <w:szCs w:val="36"/>
        </w:rPr>
        <w:t>第三章</w:t>
      </w:r>
      <w:r>
        <w:rPr>
          <w:rStyle w:val="20"/>
          <w:sz w:val="28"/>
          <w:szCs w:val="36"/>
        </w:rPr>
        <w:t xml:space="preserve">  </w:t>
      </w:r>
      <w:r>
        <w:rPr>
          <w:rStyle w:val="20"/>
          <w:rFonts w:hint="eastAsia"/>
          <w:sz w:val="28"/>
          <w:szCs w:val="36"/>
        </w:rPr>
        <w:t>评审办法</w:t>
      </w:r>
      <w:r>
        <w:rPr>
          <w:rStyle w:val="20"/>
          <w:sz w:val="28"/>
        </w:rPr>
        <w:tab/>
      </w:r>
      <w:r>
        <w:rPr>
          <w:rStyle w:val="20"/>
          <w:sz w:val="28"/>
        </w:rPr>
        <w:fldChar w:fldCharType="begin"/>
      </w:r>
      <w:r>
        <w:rPr>
          <w:rStyle w:val="20"/>
          <w:sz w:val="28"/>
        </w:rPr>
        <w:instrText xml:space="preserve"> PAGEREF _Toc15431 </w:instrText>
      </w:r>
      <w:r>
        <w:rPr>
          <w:rStyle w:val="20"/>
          <w:sz w:val="28"/>
        </w:rPr>
        <w:fldChar w:fldCharType="separate"/>
      </w:r>
      <w:r>
        <w:rPr>
          <w:rStyle w:val="20"/>
          <w:sz w:val="28"/>
        </w:rPr>
        <w:t>20</w:t>
      </w:r>
      <w:r>
        <w:rPr>
          <w:rStyle w:val="20"/>
          <w:sz w:val="28"/>
        </w:rPr>
        <w:fldChar w:fldCharType="end"/>
      </w:r>
      <w:r>
        <w:rPr>
          <w:rStyle w:val="20"/>
          <w:sz w:val="28"/>
        </w:rPr>
        <w:fldChar w:fldCharType="end"/>
      </w:r>
    </w:p>
    <w:p>
      <w:pPr>
        <w:pStyle w:val="12"/>
        <w:tabs>
          <w:tab w:val="right" w:leader="dot" w:pos="9660"/>
        </w:tabs>
        <w:rPr>
          <w:sz w:val="28"/>
        </w:rPr>
      </w:pPr>
      <w:r>
        <w:fldChar w:fldCharType="begin"/>
      </w:r>
      <w:r>
        <w:instrText xml:space="preserve"> HYPERLINK "file:///E:\\2019年招标项目\\7月\\0715\\董周乡殷庄村党群服务中心二次\\上传资料\\鲁山县董周乡殷庄村党群服务中心工程（二次）(第一标段)(招标文件).doc" \l "_Toc1416" </w:instrText>
      </w:r>
      <w:r>
        <w:fldChar w:fldCharType="separate"/>
      </w:r>
      <w:r>
        <w:rPr>
          <w:rStyle w:val="20"/>
          <w:rFonts w:hint="eastAsia"/>
          <w:sz w:val="28"/>
          <w:szCs w:val="36"/>
        </w:rPr>
        <w:t>第四章</w:t>
      </w:r>
      <w:r>
        <w:rPr>
          <w:rStyle w:val="20"/>
          <w:sz w:val="28"/>
          <w:szCs w:val="36"/>
        </w:rPr>
        <w:t xml:space="preserve">  </w:t>
      </w:r>
      <w:r>
        <w:rPr>
          <w:rStyle w:val="20"/>
          <w:rFonts w:hint="eastAsia"/>
          <w:sz w:val="28"/>
          <w:szCs w:val="36"/>
        </w:rPr>
        <w:t>图纸及工程量清单</w:t>
      </w:r>
      <w:r>
        <w:rPr>
          <w:rStyle w:val="20"/>
          <w:sz w:val="28"/>
        </w:rPr>
        <w:tab/>
      </w:r>
      <w:r>
        <w:rPr>
          <w:rStyle w:val="20"/>
          <w:sz w:val="28"/>
        </w:rPr>
        <w:fldChar w:fldCharType="begin"/>
      </w:r>
      <w:r>
        <w:rPr>
          <w:rStyle w:val="20"/>
          <w:sz w:val="28"/>
        </w:rPr>
        <w:instrText xml:space="preserve"> PAGEREF _Toc1416 </w:instrText>
      </w:r>
      <w:r>
        <w:rPr>
          <w:rStyle w:val="20"/>
          <w:sz w:val="28"/>
        </w:rPr>
        <w:fldChar w:fldCharType="separate"/>
      </w:r>
      <w:r>
        <w:rPr>
          <w:rStyle w:val="20"/>
          <w:sz w:val="28"/>
        </w:rPr>
        <w:t>24</w:t>
      </w:r>
      <w:r>
        <w:rPr>
          <w:rStyle w:val="20"/>
          <w:sz w:val="28"/>
        </w:rPr>
        <w:fldChar w:fldCharType="end"/>
      </w:r>
      <w:r>
        <w:rPr>
          <w:rStyle w:val="20"/>
          <w:sz w:val="28"/>
        </w:rPr>
        <w:fldChar w:fldCharType="end"/>
      </w:r>
    </w:p>
    <w:p>
      <w:pPr>
        <w:pStyle w:val="12"/>
        <w:tabs>
          <w:tab w:val="right" w:leader="dot" w:pos="9660"/>
        </w:tabs>
        <w:rPr>
          <w:sz w:val="28"/>
        </w:rPr>
      </w:pPr>
      <w:r>
        <w:fldChar w:fldCharType="begin"/>
      </w:r>
      <w:r>
        <w:instrText xml:space="preserve"> HYPERLINK "file:///E:\\2019年招标项目\\7月\\0715\\董周乡殷庄村党群服务中心二次\\上传资料\\鲁山县董周乡殷庄村党群服务中心工程（二次）(第一标段)(招标文件).doc" \l "_Toc14384" </w:instrText>
      </w:r>
      <w:r>
        <w:fldChar w:fldCharType="separate"/>
      </w:r>
      <w:r>
        <w:rPr>
          <w:rStyle w:val="20"/>
          <w:rFonts w:hint="eastAsia" w:ascii="宋体" w:hAnsi="宋体"/>
          <w:bCs/>
          <w:sz w:val="28"/>
          <w:szCs w:val="36"/>
        </w:rPr>
        <w:t>第五章  合同条款及格式</w:t>
      </w:r>
      <w:r>
        <w:rPr>
          <w:rStyle w:val="20"/>
          <w:sz w:val="28"/>
        </w:rPr>
        <w:tab/>
      </w:r>
      <w:r>
        <w:rPr>
          <w:rStyle w:val="20"/>
          <w:sz w:val="28"/>
        </w:rPr>
        <w:fldChar w:fldCharType="begin"/>
      </w:r>
      <w:r>
        <w:rPr>
          <w:rStyle w:val="20"/>
          <w:sz w:val="28"/>
        </w:rPr>
        <w:instrText xml:space="preserve"> PAGEREF _Toc14384 </w:instrText>
      </w:r>
      <w:r>
        <w:rPr>
          <w:rStyle w:val="20"/>
          <w:sz w:val="28"/>
        </w:rPr>
        <w:fldChar w:fldCharType="separate"/>
      </w:r>
      <w:r>
        <w:rPr>
          <w:rStyle w:val="20"/>
          <w:sz w:val="28"/>
        </w:rPr>
        <w:t>25</w:t>
      </w:r>
      <w:r>
        <w:rPr>
          <w:rStyle w:val="20"/>
          <w:sz w:val="28"/>
        </w:rPr>
        <w:fldChar w:fldCharType="end"/>
      </w:r>
      <w:r>
        <w:rPr>
          <w:rStyle w:val="20"/>
          <w:sz w:val="28"/>
        </w:rPr>
        <w:fldChar w:fldCharType="end"/>
      </w:r>
    </w:p>
    <w:p>
      <w:pPr>
        <w:pStyle w:val="12"/>
        <w:tabs>
          <w:tab w:val="right" w:leader="dot" w:pos="9660"/>
        </w:tabs>
        <w:rPr>
          <w:sz w:val="28"/>
        </w:rPr>
      </w:pPr>
      <w:r>
        <w:fldChar w:fldCharType="begin"/>
      </w:r>
      <w:r>
        <w:instrText xml:space="preserve"> HYPERLINK "file:///E:\\2019年招标项目\\7月\\0715\\董周乡殷庄村党群服务中心二次\\上传资料\\鲁山县董周乡殷庄村党群服务中心工程（二次）(第一标段)(招标文件).doc" \l "_Toc25985" </w:instrText>
      </w:r>
      <w:r>
        <w:fldChar w:fldCharType="separate"/>
      </w:r>
      <w:r>
        <w:rPr>
          <w:rStyle w:val="20"/>
          <w:rFonts w:hint="eastAsia"/>
          <w:sz w:val="28"/>
          <w:szCs w:val="36"/>
        </w:rPr>
        <w:t>第六章</w:t>
      </w:r>
      <w:r>
        <w:rPr>
          <w:rStyle w:val="20"/>
          <w:sz w:val="28"/>
          <w:szCs w:val="36"/>
        </w:rPr>
        <w:t xml:space="preserve">  </w:t>
      </w:r>
      <w:r>
        <w:rPr>
          <w:rStyle w:val="20"/>
          <w:rFonts w:hint="eastAsia"/>
          <w:sz w:val="28"/>
          <w:szCs w:val="36"/>
        </w:rPr>
        <w:t>磋商响应文件格式</w:t>
      </w:r>
      <w:r>
        <w:rPr>
          <w:rStyle w:val="20"/>
          <w:sz w:val="28"/>
        </w:rPr>
        <w:tab/>
      </w:r>
      <w:r>
        <w:rPr>
          <w:rStyle w:val="20"/>
          <w:sz w:val="28"/>
        </w:rPr>
        <w:fldChar w:fldCharType="begin"/>
      </w:r>
      <w:r>
        <w:rPr>
          <w:rStyle w:val="20"/>
          <w:sz w:val="28"/>
        </w:rPr>
        <w:instrText xml:space="preserve"> PAGEREF _Toc25985 </w:instrText>
      </w:r>
      <w:r>
        <w:rPr>
          <w:rStyle w:val="20"/>
          <w:sz w:val="28"/>
        </w:rPr>
        <w:fldChar w:fldCharType="separate"/>
      </w:r>
      <w:r>
        <w:rPr>
          <w:rStyle w:val="20"/>
          <w:sz w:val="28"/>
        </w:rPr>
        <w:t>26</w:t>
      </w:r>
      <w:r>
        <w:rPr>
          <w:rStyle w:val="20"/>
          <w:sz w:val="28"/>
        </w:rPr>
        <w:fldChar w:fldCharType="end"/>
      </w:r>
      <w:r>
        <w:rPr>
          <w:rStyle w:val="20"/>
          <w:sz w:val="28"/>
        </w:rPr>
        <w:fldChar w:fldCharType="end"/>
      </w:r>
    </w:p>
    <w:p>
      <w:pPr>
        <w:pStyle w:val="13"/>
        <w:tabs>
          <w:tab w:val="right" w:leader="dot" w:pos="9660"/>
        </w:tabs>
        <w:rPr>
          <w:sz w:val="28"/>
        </w:rPr>
      </w:pPr>
    </w:p>
    <w:p>
      <w:pPr>
        <w:pStyle w:val="15"/>
        <w:ind w:firstLine="280"/>
      </w:pPr>
      <w:r>
        <w:rPr>
          <w:sz w:val="28"/>
        </w:rPr>
        <w:fldChar w:fldCharType="end"/>
      </w:r>
    </w:p>
    <w:p>
      <w:pPr>
        <w:widowControl/>
        <w:jc w:val="left"/>
        <w:sectPr>
          <w:pgSz w:w="11906" w:h="16838"/>
          <w:pgMar w:top="1418" w:right="1135" w:bottom="1418" w:left="1111" w:header="851" w:footer="992" w:gutter="0"/>
          <w:pgNumType w:start="1"/>
          <w:cols w:space="720" w:num="1"/>
          <w:docGrid w:type="lines" w:linePitch="312" w:charSpace="0"/>
        </w:sectPr>
      </w:pPr>
    </w:p>
    <w:p>
      <w:pPr>
        <w:snapToGrid w:val="0"/>
        <w:spacing w:line="360" w:lineRule="auto"/>
        <w:ind w:firstLine="723" w:firstLineChars="200"/>
        <w:jc w:val="center"/>
        <w:rPr>
          <w:rStyle w:val="36"/>
          <w:sz w:val="36"/>
          <w:szCs w:val="36"/>
        </w:rPr>
      </w:pPr>
      <w:bookmarkStart w:id="2" w:name="_Toc1378"/>
      <w:bookmarkStart w:id="3" w:name="_Toc24771"/>
      <w:bookmarkStart w:id="4" w:name="_Toc16290"/>
      <w:bookmarkStart w:id="5" w:name="_Toc31525"/>
      <w:bookmarkStart w:id="6" w:name="_Toc20802"/>
      <w:bookmarkStart w:id="7" w:name="_Toc14994"/>
      <w:bookmarkStart w:id="8" w:name="_Toc29029"/>
      <w:bookmarkStart w:id="9" w:name="_Toc22589"/>
      <w:bookmarkStart w:id="10" w:name="_Toc7959"/>
      <w:bookmarkStart w:id="11" w:name="_Toc17252"/>
      <w:bookmarkStart w:id="12" w:name="_Toc21036"/>
      <w:bookmarkStart w:id="13" w:name="_Toc17059"/>
      <w:bookmarkStart w:id="14" w:name="_Toc32636"/>
      <w:r>
        <w:rPr>
          <w:rStyle w:val="36"/>
          <w:rFonts w:hint="eastAsia"/>
          <w:sz w:val="36"/>
          <w:szCs w:val="36"/>
        </w:rPr>
        <w:t>第一章</w:t>
      </w:r>
      <w:r>
        <w:rPr>
          <w:rStyle w:val="36"/>
          <w:sz w:val="36"/>
          <w:szCs w:val="36"/>
        </w:rPr>
        <w:t xml:space="preserve">  </w:t>
      </w:r>
      <w:r>
        <w:rPr>
          <w:rStyle w:val="36"/>
          <w:rFonts w:hint="eastAsia"/>
          <w:sz w:val="36"/>
          <w:szCs w:val="36"/>
        </w:rPr>
        <w:t>竞争性磋商公告</w:t>
      </w:r>
    </w:p>
    <w:p>
      <w:pPr>
        <w:spacing w:line="336"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一、采购项目名称：</w:t>
      </w:r>
      <w:r>
        <w:rPr>
          <w:rFonts w:hint="eastAsia" w:asciiTheme="minorEastAsia" w:hAnsiTheme="minorEastAsia" w:eastAsiaTheme="minorEastAsia" w:cstheme="minorEastAsia"/>
          <w:sz w:val="24"/>
          <w:szCs w:val="24"/>
        </w:rPr>
        <w:t>鲁山县城南新区（和平农贸市场）垃圾中转站项目；</w:t>
      </w:r>
    </w:p>
    <w:p>
      <w:pPr>
        <w:spacing w:line="336" w:lineRule="auto"/>
        <w:ind w:firstLine="482"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sz w:val="24"/>
          <w:szCs w:val="24"/>
        </w:rPr>
        <w:t>二、采购项目编号：</w:t>
      </w:r>
      <w:r>
        <w:rPr>
          <w:rFonts w:hint="eastAsia" w:asciiTheme="minorEastAsia" w:hAnsiTheme="minorEastAsia" w:eastAsiaTheme="minorEastAsia" w:cstheme="minorEastAsia"/>
          <w:sz w:val="24"/>
          <w:szCs w:val="24"/>
        </w:rPr>
        <w:t>LZC2019-B</w:t>
      </w:r>
      <w:r>
        <w:rPr>
          <w:rFonts w:hint="eastAsia" w:asciiTheme="minorEastAsia" w:hAnsiTheme="minorEastAsia" w:eastAsiaTheme="minorEastAsia" w:cstheme="minorEastAsia"/>
          <w:sz w:val="24"/>
          <w:szCs w:val="24"/>
          <w:lang w:val="en-US" w:eastAsia="zh-CN"/>
        </w:rPr>
        <w:t>jc</w:t>
      </w:r>
      <w:r>
        <w:rPr>
          <w:rFonts w:hint="eastAsia" w:asciiTheme="minorEastAsia" w:hAnsiTheme="minorEastAsia" w:eastAsiaTheme="minorEastAsia" w:cstheme="minorEastAsia"/>
          <w:sz w:val="24"/>
          <w:szCs w:val="24"/>
        </w:rPr>
        <w:t>099；</w:t>
      </w:r>
    </w:p>
    <w:p>
      <w:pPr>
        <w:spacing w:line="336"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三、采购预算金额：</w:t>
      </w:r>
      <w:r>
        <w:rPr>
          <w:rFonts w:hint="eastAsia" w:ascii="宋体" w:hAnsi="宋体" w:cs="宋体"/>
          <w:b w:val="0"/>
          <w:bCs w:val="0"/>
          <w:szCs w:val="21"/>
        </w:rPr>
        <w:t>1023151.00</w:t>
      </w:r>
      <w:r>
        <w:rPr>
          <w:rFonts w:hint="eastAsia" w:asciiTheme="minorEastAsia" w:hAnsiTheme="minorEastAsia" w:eastAsiaTheme="minorEastAsia" w:cstheme="minorEastAsia"/>
          <w:b w:val="0"/>
          <w:bCs w:val="0"/>
          <w:sz w:val="24"/>
        </w:rPr>
        <w:t>元</w:t>
      </w:r>
      <w:r>
        <w:rPr>
          <w:rFonts w:hint="eastAsia" w:asciiTheme="minorEastAsia" w:hAnsiTheme="minorEastAsia" w:eastAsiaTheme="minorEastAsia" w:cstheme="minorEastAsia"/>
          <w:sz w:val="24"/>
        </w:rPr>
        <w:t>人民币；</w:t>
      </w:r>
    </w:p>
    <w:p>
      <w:pPr>
        <w:spacing w:line="336"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四、采购需求</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sz w:val="24"/>
        </w:rPr>
        <w:t>采购范围：施工图纸及工程量清单内的全部工作内容；</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2、资金来源：财政资金, 已落实；</w:t>
      </w:r>
    </w:p>
    <w:p>
      <w:pPr>
        <w:spacing w:line="33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szCs w:val="24"/>
        </w:rPr>
        <w:t>项目地点：鲁山县；</w:t>
      </w:r>
    </w:p>
    <w:p>
      <w:pPr>
        <w:spacing w:line="336"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4、质量标准：合格；</w:t>
      </w:r>
    </w:p>
    <w:p>
      <w:pPr>
        <w:adjustRightInd w:val="0"/>
        <w:snapToGrid w:val="0"/>
        <w:spacing w:line="33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5、计划工期：</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0日历天；</w:t>
      </w:r>
    </w:p>
    <w:p>
      <w:pPr>
        <w:adjustRightInd w:val="0"/>
        <w:snapToGrid w:val="0"/>
        <w:spacing w:line="33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6、工程概况：鲁山县城南新区（和平农贸市场）垃圾中转站建设项目。主要内容包括垃圾中转土建、给排水、电气、厂区室外进站路、门前场地硬化、检查井、化粪池、沉淀池及污水井等。</w:t>
      </w:r>
    </w:p>
    <w:p>
      <w:pPr>
        <w:spacing w:line="336" w:lineRule="auto"/>
        <w:ind w:left="413"/>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sz w:val="24"/>
        </w:rPr>
        <w:t>五、采购项目需要落实的政府采购政策：</w:t>
      </w:r>
      <w:r>
        <w:rPr>
          <w:rFonts w:hint="eastAsia" w:asciiTheme="minorEastAsia" w:hAnsiTheme="minorEastAsia" w:eastAsiaTheme="minorEastAsia" w:cstheme="minorEastAsia"/>
          <w:color w:val="000000"/>
          <w:kern w:val="0"/>
          <w:sz w:val="24"/>
        </w:rPr>
        <w:t>本项目执行扶持不发达地区和少数民族地区、促进中小企业发展等政府采购政策。  </w:t>
      </w:r>
    </w:p>
    <w:p>
      <w:pPr>
        <w:snapToGrid w:val="0"/>
        <w:spacing w:line="360" w:lineRule="auto"/>
        <w:ind w:firstLine="354" w:firstLineChars="147"/>
        <w:rPr>
          <w:rFonts w:ascii="宋体" w:hAnsi="宋体" w:cs="宋体"/>
          <w:b/>
          <w:bCs/>
          <w:kern w:val="0"/>
          <w:sz w:val="24"/>
          <w:szCs w:val="24"/>
        </w:rPr>
      </w:pPr>
      <w:r>
        <w:rPr>
          <w:rFonts w:hint="eastAsia" w:asciiTheme="minorEastAsia" w:hAnsiTheme="minorEastAsia" w:eastAsiaTheme="minorEastAsia" w:cstheme="minorEastAsia"/>
          <w:b/>
          <w:bCs/>
          <w:sz w:val="24"/>
        </w:rPr>
        <w:t>六、</w:t>
      </w:r>
      <w:bookmarkStart w:id="15" w:name="_Toc21970"/>
      <w:bookmarkStart w:id="16" w:name="_Toc6586678"/>
      <w:r>
        <w:rPr>
          <w:rFonts w:hint="eastAsia" w:ascii="宋体" w:hAnsi="宋体" w:cs="宋体"/>
          <w:b/>
          <w:bCs/>
          <w:kern w:val="0"/>
          <w:sz w:val="24"/>
          <w:szCs w:val="24"/>
        </w:rPr>
        <w:t>供应商资格要求</w:t>
      </w:r>
    </w:p>
    <w:p>
      <w:pPr>
        <w:spacing w:line="360" w:lineRule="auto"/>
        <w:ind w:firstLine="480" w:firstLineChars="200"/>
        <w:outlineLvl w:val="0"/>
        <w:rPr>
          <w:rFonts w:hint="eastAsia" w:asciiTheme="minorEastAsia" w:hAnsiTheme="minorEastAsia" w:eastAsiaTheme="minorEastAsia" w:cstheme="minorEastAsia"/>
          <w:sz w:val="24"/>
        </w:rPr>
      </w:pPr>
      <w:bookmarkStart w:id="17" w:name="_Toc18170"/>
      <w:bookmarkStart w:id="18" w:name="_Toc16590"/>
      <w:bookmarkStart w:id="19" w:name="_Toc22936"/>
      <w:bookmarkStart w:id="20" w:name="_Toc10027"/>
      <w:r>
        <w:rPr>
          <w:rFonts w:hint="eastAsia" w:asciiTheme="minorEastAsia" w:hAnsiTheme="minorEastAsia" w:eastAsiaTheme="minorEastAsia" w:cstheme="minorEastAsia"/>
          <w:sz w:val="24"/>
        </w:rPr>
        <w:t>供应商须符合《中华人民共和国政府采购法》二十二条规定:</w:t>
      </w:r>
      <w:bookmarkEnd w:id="17"/>
      <w:bookmarkEnd w:id="18"/>
      <w:bookmarkEnd w:id="19"/>
      <w:bookmarkEnd w:id="20"/>
    </w:p>
    <w:p>
      <w:pPr>
        <w:spacing w:line="360" w:lineRule="auto"/>
        <w:ind w:firstLine="480" w:firstLineChars="200"/>
        <w:outlineLvl w:val="0"/>
        <w:rPr>
          <w:rFonts w:hint="eastAsia" w:asciiTheme="minorEastAsia" w:hAnsiTheme="minorEastAsia" w:eastAsiaTheme="minorEastAsia" w:cstheme="minorEastAsia"/>
          <w:sz w:val="24"/>
        </w:rPr>
      </w:pPr>
      <w:bookmarkStart w:id="21" w:name="_Toc32655"/>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.1供应商具有独立法人资格，具有有效的营业执照、税务登记证、组织机构代码证或提供三证合一的营业执照，企业银行基本账户开户许可证；</w:t>
      </w:r>
      <w:bookmarkEnd w:id="21"/>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.2.供应商须具有建筑工程施工总承包叁级及以上（含叁级）企业资质和有效的安全生产许可证；</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 3.供应商须具备良好的财务状况：财务没有被接管、冻结、破产状态，具有有效的近一年（2018年度，若供应商成立年限不足一年的，需提供企业成立后各年度的）财务审计报告书；</w:t>
      </w:r>
    </w:p>
    <w:p>
      <w:pPr>
        <w:spacing w:line="360" w:lineRule="auto"/>
        <w:ind w:firstLine="480" w:firstLineChars="200"/>
        <w:rPr>
          <w:rFonts w:hint="eastAsia" w:ascii="宋体" w:hAnsi="宋体" w:eastAsia="宋体" w:cs="宋体"/>
          <w:i w:val="0"/>
          <w:caps w:val="0"/>
          <w:color w:val="000000"/>
          <w:spacing w:val="0"/>
          <w:sz w:val="24"/>
          <w:szCs w:val="24"/>
          <w:shd w:val="clear" w:fill="FFFFFF"/>
          <w:lang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.4</w:t>
      </w:r>
      <w:r>
        <w:rPr>
          <w:rFonts w:ascii="宋体" w:hAnsi="宋体" w:eastAsia="宋体" w:cs="宋体"/>
          <w:i w:val="0"/>
          <w:caps w:val="0"/>
          <w:color w:val="000000"/>
          <w:spacing w:val="0"/>
          <w:sz w:val="24"/>
          <w:szCs w:val="24"/>
          <w:shd w:val="clear" w:fill="FFFFFF"/>
        </w:rPr>
        <w:t>供应商须提供“信用中国”网站</w:t>
      </w:r>
      <w:r>
        <w:rPr>
          <w:rFonts w:hint="eastAsia" w:ascii="宋体" w:hAnsi="宋体" w:cs="宋体"/>
          <w:i w:val="0"/>
          <w:caps w:val="0"/>
          <w:color w:val="000000"/>
          <w:spacing w:val="0"/>
          <w:sz w:val="24"/>
          <w:szCs w:val="24"/>
          <w:shd w:val="clear" w:fill="FFFFFF"/>
          <w:lang w:eastAsia="zh-CN"/>
        </w:rPr>
        <w:t>的“</w:t>
      </w:r>
      <w:r>
        <w:rPr>
          <w:rFonts w:ascii="宋体" w:hAnsi="宋体" w:eastAsia="宋体" w:cs="宋体"/>
          <w:i w:val="0"/>
          <w:caps w:val="0"/>
          <w:color w:val="000000"/>
          <w:spacing w:val="0"/>
          <w:sz w:val="24"/>
          <w:szCs w:val="24"/>
          <w:shd w:val="clear" w:fill="FFFFFF"/>
        </w:rPr>
        <w:t>失信被执行人</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和</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重大税收违法案件当事人名单</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 xml:space="preserve"> </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中国政府采购</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网</w:t>
      </w:r>
      <w:r>
        <w:rPr>
          <w:rFonts w:hint="eastAsia" w:ascii="宋体" w:hAnsi="宋体" w:cs="宋体"/>
          <w:i w:val="0"/>
          <w:caps w:val="0"/>
          <w:color w:val="000000"/>
          <w:spacing w:val="0"/>
          <w:sz w:val="24"/>
          <w:szCs w:val="24"/>
          <w:shd w:val="clear" w:fill="FFFFFF"/>
          <w:lang w:eastAsia="zh-CN"/>
        </w:rPr>
        <w:t>站</w:t>
      </w:r>
      <w:r>
        <w:rPr>
          <w:rFonts w:ascii="宋体" w:hAnsi="宋体" w:eastAsia="宋体" w:cs="宋体"/>
          <w:i w:val="0"/>
          <w:caps w:val="0"/>
          <w:color w:val="000000"/>
          <w:spacing w:val="0"/>
          <w:sz w:val="24"/>
          <w:szCs w:val="24"/>
          <w:shd w:val="clear" w:fill="FFFFFF"/>
        </w:rPr>
        <w:t>的</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政府采购严重违法失信行为名单</w:t>
      </w:r>
      <w:r>
        <w:rPr>
          <w:rFonts w:hint="eastAsia" w:ascii="宋体" w:hAnsi="宋体" w:cs="宋体"/>
          <w:i w:val="0"/>
          <w:caps w:val="0"/>
          <w:color w:val="000000"/>
          <w:spacing w:val="0"/>
          <w:sz w:val="24"/>
          <w:szCs w:val="24"/>
          <w:shd w:val="clear" w:fill="FFFFFF"/>
          <w:lang w:eastAsia="zh-CN"/>
        </w:rPr>
        <w:t>”</w:t>
      </w:r>
      <w:r>
        <w:rPr>
          <w:rFonts w:ascii="宋体" w:hAnsi="宋体" w:eastAsia="宋体" w:cs="宋体"/>
          <w:i w:val="0"/>
          <w:caps w:val="0"/>
          <w:color w:val="000000"/>
          <w:spacing w:val="0"/>
          <w:sz w:val="24"/>
          <w:szCs w:val="24"/>
          <w:shd w:val="clear" w:fill="FFFFFF"/>
        </w:rPr>
        <w:t>，查询结果页面截图，若有不良记录报名无效，执行财库</w:t>
      </w:r>
      <w:r>
        <w:rPr>
          <w:rFonts w:hint="eastAsia" w:ascii="宋体" w:hAnsi="宋体" w:eastAsia="宋体" w:cs="宋体"/>
          <w:i w:val="0"/>
          <w:caps w:val="0"/>
          <w:color w:val="000000"/>
          <w:spacing w:val="0"/>
          <w:sz w:val="24"/>
          <w:szCs w:val="24"/>
          <w:u w:val="none"/>
          <w:shd w:val="clear" w:fill="FFFFFF"/>
          <w:lang w:val="en-US"/>
        </w:rPr>
        <w:t>[2016]125</w:t>
      </w:r>
      <w:r>
        <w:rPr>
          <w:rFonts w:ascii="宋体" w:hAnsi="宋体" w:eastAsia="宋体" w:cs="宋体"/>
          <w:i w:val="0"/>
          <w:caps w:val="0"/>
          <w:color w:val="000000"/>
          <w:spacing w:val="0"/>
          <w:sz w:val="24"/>
          <w:szCs w:val="24"/>
          <w:shd w:val="clear" w:fill="FFFFFF"/>
        </w:rPr>
        <w:t>号文</w:t>
      </w:r>
      <w:r>
        <w:rPr>
          <w:rFonts w:hint="eastAsia" w:ascii="宋体" w:hAnsi="宋体" w:cs="宋体"/>
          <w:i w:val="0"/>
          <w:caps w:val="0"/>
          <w:color w:val="000000"/>
          <w:spacing w:val="0"/>
          <w:sz w:val="24"/>
          <w:szCs w:val="24"/>
          <w:shd w:val="clear" w:fill="FFFFFF"/>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.5供应商须具有第三方信用服务机构出具的信用报告（</w:t>
      </w:r>
      <w:r>
        <w:rPr>
          <w:rFonts w:hint="eastAsia" w:asciiTheme="minorEastAsia" w:hAnsiTheme="minorEastAsia" w:eastAsiaTheme="minorEastAsia" w:cstheme="minorEastAsia"/>
          <w:sz w:val="24"/>
          <w:lang w:eastAsia="zh-CN"/>
        </w:rPr>
        <w:t>或</w:t>
      </w:r>
      <w:r>
        <w:rPr>
          <w:rFonts w:hint="eastAsia" w:asciiTheme="minorEastAsia" w:hAnsiTheme="minorEastAsia" w:eastAsiaTheme="minorEastAsia" w:cstheme="minorEastAsia"/>
          <w:sz w:val="24"/>
        </w:rPr>
        <w:t>提供信用等级证书）；</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color w:val="000000"/>
          <w:kern w:val="0"/>
          <w:sz w:val="24"/>
          <w:szCs w:val="24"/>
        </w:rPr>
        <w:t>具有依法缴纳税收和社会保障资金的良好记录；【提供2019年以来任意一个月依法缴纳税收和社会保障资金的相关证明材料】；</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.7.本项目</w:t>
      </w:r>
      <w:r>
        <w:rPr>
          <w:rFonts w:hint="eastAsia" w:asciiTheme="minorEastAsia" w:hAnsiTheme="minorEastAsia" w:eastAsiaTheme="minorEastAsia" w:cstheme="minorEastAsia"/>
          <w:sz w:val="24"/>
          <w:lang w:eastAsia="zh-CN"/>
        </w:rPr>
        <w:t>不接受联合体投标</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本项目采用资格后审。</w:t>
      </w:r>
    </w:p>
    <w:p>
      <w:pPr>
        <w:spacing w:line="336" w:lineRule="auto"/>
        <w:ind w:firstLine="482" w:firstLineChars="200"/>
        <w:outlineLvl w:val="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sz w:val="24"/>
        </w:rPr>
        <w:t>七、是否接受进口产品：</w:t>
      </w:r>
      <w:r>
        <w:rPr>
          <w:rFonts w:hint="eastAsia" w:asciiTheme="minorEastAsia" w:hAnsiTheme="minorEastAsia" w:eastAsiaTheme="minorEastAsia" w:cstheme="minorEastAsia"/>
          <w:color w:val="000000"/>
          <w:kern w:val="0"/>
          <w:sz w:val="24"/>
        </w:rPr>
        <w:t>否</w:t>
      </w:r>
    </w:p>
    <w:p>
      <w:pPr>
        <w:spacing w:line="336"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八、获取招标文件</w:t>
      </w:r>
    </w:p>
    <w:p>
      <w:pPr>
        <w:spacing w:line="336" w:lineRule="auto"/>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sz w:val="24"/>
        </w:rPr>
        <w:t>1、时间：</w:t>
      </w:r>
      <w:r>
        <w:rPr>
          <w:rFonts w:hint="eastAsia" w:asciiTheme="minorEastAsia" w:hAnsiTheme="minorEastAsia" w:eastAsiaTheme="minorEastAsia" w:cstheme="minorEastAsia"/>
          <w:color w:val="000000"/>
          <w:kern w:val="0"/>
          <w:sz w:val="24"/>
          <w:u w:val="single"/>
        </w:rPr>
        <w:t>2019</w:t>
      </w:r>
      <w:r>
        <w:rPr>
          <w:rFonts w:hint="eastAsia" w:asciiTheme="minorEastAsia" w:hAnsiTheme="minorEastAsia" w:eastAsiaTheme="minorEastAsia" w:cstheme="minorEastAsia"/>
          <w:color w:val="000000"/>
          <w:kern w:val="0"/>
          <w:sz w:val="24"/>
        </w:rPr>
        <w:t>年</w:t>
      </w:r>
      <w:r>
        <w:rPr>
          <w:rFonts w:hint="eastAsia" w:asciiTheme="minorEastAsia" w:hAnsiTheme="minorEastAsia" w:eastAsiaTheme="minorEastAsia" w:cstheme="minorEastAsia"/>
          <w:color w:val="000000"/>
          <w:kern w:val="0"/>
          <w:sz w:val="24"/>
          <w:u w:val="single"/>
          <w:lang w:val="en-US" w:eastAsia="zh-CN"/>
        </w:rPr>
        <w:t>11</w:t>
      </w:r>
      <w:r>
        <w:rPr>
          <w:rFonts w:hint="eastAsia" w:asciiTheme="minorEastAsia" w:hAnsiTheme="minorEastAsia" w:eastAsiaTheme="minorEastAsia" w:cstheme="minorEastAsia"/>
          <w:color w:val="000000"/>
          <w:kern w:val="0"/>
          <w:sz w:val="24"/>
        </w:rPr>
        <w:t>月</w:t>
      </w:r>
      <w:r>
        <w:rPr>
          <w:rFonts w:hint="eastAsia" w:asciiTheme="minorEastAsia" w:hAnsiTheme="minorEastAsia" w:eastAsiaTheme="minorEastAsia" w:cstheme="minorEastAsia"/>
          <w:color w:val="000000"/>
          <w:kern w:val="0"/>
          <w:sz w:val="24"/>
          <w:u w:val="single"/>
          <w:lang w:val="en-US" w:eastAsia="zh-CN"/>
        </w:rPr>
        <w:t>20</w:t>
      </w:r>
      <w:r>
        <w:rPr>
          <w:rFonts w:hint="eastAsia" w:asciiTheme="minorEastAsia" w:hAnsiTheme="minorEastAsia" w:eastAsiaTheme="minorEastAsia" w:cstheme="minorEastAsia"/>
          <w:color w:val="000000"/>
          <w:kern w:val="0"/>
          <w:sz w:val="24"/>
        </w:rPr>
        <w:t>日</w:t>
      </w:r>
      <w:r>
        <w:rPr>
          <w:rFonts w:hint="eastAsia" w:asciiTheme="minorEastAsia" w:hAnsiTheme="minorEastAsia" w:eastAsiaTheme="minorEastAsia" w:cstheme="minorEastAsia"/>
          <w:color w:val="000000"/>
          <w:kern w:val="0"/>
          <w:sz w:val="24"/>
          <w:u w:val="single"/>
          <w:lang w:val="en-US" w:eastAsia="zh-CN"/>
        </w:rPr>
        <w:t>00</w:t>
      </w:r>
      <w:r>
        <w:rPr>
          <w:rFonts w:hint="eastAsia" w:asciiTheme="minorEastAsia" w:hAnsiTheme="minorEastAsia" w:eastAsiaTheme="minorEastAsia" w:cstheme="minorEastAsia"/>
          <w:color w:val="000000"/>
          <w:kern w:val="0"/>
          <w:sz w:val="24"/>
        </w:rPr>
        <w:t>时</w:t>
      </w:r>
      <w:r>
        <w:rPr>
          <w:rFonts w:hint="eastAsia" w:asciiTheme="minorEastAsia" w:hAnsiTheme="minorEastAsia" w:eastAsiaTheme="minorEastAsia" w:cstheme="minorEastAsia"/>
          <w:color w:val="000000"/>
          <w:kern w:val="0"/>
          <w:sz w:val="24"/>
          <w:u w:val="single"/>
          <w:lang w:val="en-US" w:eastAsia="zh-CN"/>
        </w:rPr>
        <w:t>00</w:t>
      </w:r>
      <w:r>
        <w:rPr>
          <w:rFonts w:hint="eastAsia" w:asciiTheme="minorEastAsia" w:hAnsiTheme="minorEastAsia" w:eastAsiaTheme="minorEastAsia" w:cstheme="minorEastAsia"/>
          <w:color w:val="000000"/>
          <w:kern w:val="0"/>
          <w:sz w:val="24"/>
        </w:rPr>
        <w:t>至</w:t>
      </w:r>
      <w:r>
        <w:rPr>
          <w:rFonts w:hint="eastAsia" w:asciiTheme="minorEastAsia" w:hAnsiTheme="minorEastAsia" w:eastAsiaTheme="minorEastAsia" w:cstheme="minorEastAsia"/>
          <w:color w:val="000000"/>
          <w:kern w:val="0"/>
          <w:sz w:val="24"/>
          <w:u w:val="single"/>
        </w:rPr>
        <w:t>2019</w:t>
      </w:r>
      <w:r>
        <w:rPr>
          <w:rFonts w:hint="eastAsia" w:asciiTheme="minorEastAsia" w:hAnsiTheme="minorEastAsia" w:eastAsiaTheme="minorEastAsia" w:cstheme="minorEastAsia"/>
          <w:color w:val="000000"/>
          <w:kern w:val="0"/>
          <w:sz w:val="24"/>
        </w:rPr>
        <w:t>年</w:t>
      </w:r>
      <w:r>
        <w:rPr>
          <w:rFonts w:hint="eastAsia" w:asciiTheme="minorEastAsia" w:hAnsiTheme="minorEastAsia" w:eastAsiaTheme="minorEastAsia" w:cstheme="minorEastAsia"/>
          <w:color w:val="000000"/>
          <w:kern w:val="0"/>
          <w:sz w:val="24"/>
          <w:u w:val="single"/>
          <w:lang w:val="en-US" w:eastAsia="zh-CN"/>
        </w:rPr>
        <w:t>11</w:t>
      </w:r>
      <w:r>
        <w:rPr>
          <w:rFonts w:hint="eastAsia" w:asciiTheme="minorEastAsia" w:hAnsiTheme="minorEastAsia" w:eastAsiaTheme="minorEastAsia" w:cstheme="minorEastAsia"/>
          <w:color w:val="000000"/>
          <w:kern w:val="0"/>
          <w:sz w:val="24"/>
        </w:rPr>
        <w:t>月</w:t>
      </w:r>
      <w:r>
        <w:rPr>
          <w:rFonts w:hint="eastAsia" w:asciiTheme="minorEastAsia" w:hAnsiTheme="minorEastAsia" w:eastAsiaTheme="minorEastAsia" w:cstheme="minorEastAsia"/>
          <w:color w:val="000000"/>
          <w:kern w:val="0"/>
          <w:sz w:val="24"/>
          <w:u w:val="single"/>
          <w:lang w:val="en-US" w:eastAsia="zh-CN"/>
        </w:rPr>
        <w:t>26</w:t>
      </w:r>
      <w:r>
        <w:rPr>
          <w:rFonts w:hint="eastAsia" w:asciiTheme="minorEastAsia" w:hAnsiTheme="minorEastAsia" w:eastAsiaTheme="minorEastAsia" w:cstheme="minorEastAsia"/>
          <w:color w:val="000000"/>
          <w:kern w:val="0"/>
          <w:sz w:val="24"/>
        </w:rPr>
        <w:t>日</w:t>
      </w:r>
      <w:r>
        <w:rPr>
          <w:rFonts w:hint="eastAsia" w:asciiTheme="minorEastAsia" w:hAnsiTheme="minorEastAsia" w:eastAsiaTheme="minorEastAsia" w:cstheme="minorEastAsia"/>
          <w:color w:val="000000"/>
          <w:kern w:val="0"/>
          <w:sz w:val="24"/>
          <w:u w:val="single"/>
          <w:lang w:val="en-US" w:eastAsia="zh-CN"/>
        </w:rPr>
        <w:t>23</w:t>
      </w:r>
      <w:r>
        <w:rPr>
          <w:rFonts w:hint="eastAsia" w:asciiTheme="minorEastAsia" w:hAnsiTheme="minorEastAsia" w:eastAsiaTheme="minorEastAsia" w:cstheme="minorEastAsia"/>
          <w:color w:val="000000"/>
          <w:kern w:val="0"/>
          <w:sz w:val="24"/>
        </w:rPr>
        <w:t>时</w:t>
      </w:r>
      <w:r>
        <w:rPr>
          <w:rFonts w:hint="eastAsia" w:asciiTheme="minorEastAsia" w:hAnsiTheme="minorEastAsia" w:eastAsiaTheme="minorEastAsia" w:cstheme="minorEastAsia"/>
          <w:color w:val="000000"/>
          <w:kern w:val="0"/>
          <w:sz w:val="24"/>
          <w:u w:val="single"/>
          <w:lang w:val="en-US" w:eastAsia="zh-CN"/>
        </w:rPr>
        <w:t>59</w:t>
      </w:r>
      <w:r>
        <w:rPr>
          <w:rFonts w:hint="eastAsia" w:asciiTheme="minorEastAsia" w:hAnsiTheme="minorEastAsia" w:eastAsiaTheme="minorEastAsia" w:cstheme="minorEastAsia"/>
          <w:color w:val="000000"/>
          <w:kern w:val="0"/>
          <w:sz w:val="24"/>
        </w:rPr>
        <w:t>分，（北京时间、法定节假日除外）</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2、地点:</w:t>
      </w:r>
      <w:r>
        <w:rPr>
          <w:rFonts w:hint="eastAsia" w:asciiTheme="minorEastAsia" w:hAnsiTheme="minorEastAsia" w:eastAsiaTheme="minorEastAsia" w:cstheme="minorEastAsia"/>
          <w:sz w:val="24"/>
        </w:rPr>
        <w:t>本项目只接受网上报名，不接受其它形式报名。潜在供应商报名需凭CA数字证书通过平顶山市公共资源交易中心网（网址：http://www.pdsggzy.com/）“供应商登录”入口进入交易系统进行报名。</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3、方式：</w:t>
      </w:r>
      <w:bookmarkEnd w:id="15"/>
      <w:bookmarkEnd w:id="16"/>
      <w:bookmarkStart w:id="22" w:name="_Toc6586679"/>
      <w:bookmarkStart w:id="23" w:name="_Toc3139"/>
      <w:r>
        <w:rPr>
          <w:rFonts w:hint="eastAsia" w:asciiTheme="minorEastAsia" w:hAnsiTheme="minorEastAsia" w:eastAsiaTheme="minorEastAsia" w:cstheme="minorEastAsia"/>
          <w:sz w:val="24"/>
        </w:rPr>
        <w:t>具体操作请查看以下链接：</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链接地址：http://www.pdsggzy.com/fwzn/11020.jhtml</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办理CA证书：</w:t>
      </w:r>
      <w:r>
        <w:rPr>
          <w:rFonts w:hint="eastAsia"/>
        </w:rPr>
        <w:fldChar w:fldCharType="begin"/>
      </w:r>
      <w:r>
        <w:rPr>
          <w:rFonts w:hint="eastAsia" w:asciiTheme="minorEastAsia" w:hAnsiTheme="minorEastAsia" w:eastAsiaTheme="minorEastAsia" w:cstheme="minorEastAsia"/>
          <w:sz w:val="24"/>
        </w:rPr>
        <w:instrText xml:space="preserve"> HYPERLINK "http://www.pdsggzy.com/tzgg/10814.jhtml" </w:instrText>
      </w:r>
      <w:r>
        <w:rPr>
          <w:rFonts w:hint="eastAsia"/>
        </w:rPr>
        <w:fldChar w:fldCharType="separate"/>
      </w:r>
      <w:r>
        <w:rPr>
          <w:rStyle w:val="20"/>
          <w:rFonts w:hint="eastAsia" w:asciiTheme="minorEastAsia" w:hAnsiTheme="minorEastAsia" w:eastAsiaTheme="minorEastAsia" w:cstheme="minorEastAsia"/>
          <w:sz w:val="24"/>
          <w:szCs w:val="24"/>
        </w:rPr>
        <w:t>http://www.pdsggzy.com/tzgg/10814.jhtml</w:t>
      </w:r>
      <w:r>
        <w:rPr>
          <w:rStyle w:val="20"/>
          <w:rFonts w:hint="eastAsia" w:asciiTheme="minorEastAsia" w:hAnsiTheme="minorEastAsia" w:eastAsiaTheme="minorEastAsia" w:cstheme="minorEastAsia"/>
          <w:sz w:val="24"/>
          <w:szCs w:val="24"/>
        </w:rPr>
        <w:fldChar w:fldCharType="end"/>
      </w:r>
    </w:p>
    <w:p>
      <w:pPr>
        <w:spacing w:line="336"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九、投标文件的递交</w:t>
      </w:r>
    </w:p>
    <w:p>
      <w:pPr>
        <w:spacing w:line="336" w:lineRule="auto"/>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1、时间：</w:t>
      </w:r>
      <w:r>
        <w:rPr>
          <w:rFonts w:hint="eastAsia" w:asciiTheme="minorEastAsia" w:hAnsiTheme="minorEastAsia" w:eastAsiaTheme="minorEastAsia" w:cstheme="minorEastAsia"/>
          <w:color w:val="000000"/>
          <w:kern w:val="0"/>
          <w:sz w:val="24"/>
          <w:u w:val="single"/>
        </w:rPr>
        <w:t>2019</w:t>
      </w:r>
      <w:r>
        <w:rPr>
          <w:rFonts w:hint="eastAsia" w:asciiTheme="minorEastAsia" w:hAnsiTheme="minorEastAsia" w:eastAsiaTheme="minorEastAsia" w:cstheme="minorEastAsia"/>
          <w:color w:val="000000"/>
          <w:kern w:val="0"/>
          <w:sz w:val="24"/>
        </w:rPr>
        <w:t>年</w:t>
      </w:r>
      <w:r>
        <w:rPr>
          <w:rFonts w:hint="eastAsia" w:asciiTheme="minorEastAsia" w:hAnsiTheme="minorEastAsia" w:eastAsiaTheme="minorEastAsia" w:cstheme="minorEastAsia"/>
          <w:color w:val="000000"/>
          <w:kern w:val="0"/>
          <w:sz w:val="24"/>
          <w:u w:val="single"/>
          <w:lang w:val="en-US" w:eastAsia="zh-CN"/>
        </w:rPr>
        <w:t>12</w:t>
      </w:r>
      <w:r>
        <w:rPr>
          <w:rFonts w:hint="eastAsia" w:asciiTheme="minorEastAsia" w:hAnsiTheme="minorEastAsia" w:eastAsiaTheme="minorEastAsia" w:cstheme="minorEastAsia"/>
          <w:color w:val="000000"/>
          <w:kern w:val="0"/>
          <w:sz w:val="24"/>
        </w:rPr>
        <w:t>月</w:t>
      </w:r>
      <w:r>
        <w:rPr>
          <w:rFonts w:hint="eastAsia" w:asciiTheme="minorEastAsia" w:hAnsiTheme="minorEastAsia" w:eastAsiaTheme="minorEastAsia" w:cstheme="minorEastAsia"/>
          <w:color w:val="000000"/>
          <w:kern w:val="0"/>
          <w:sz w:val="24"/>
          <w:u w:val="single"/>
          <w:lang w:val="en-US" w:eastAsia="zh-CN"/>
        </w:rPr>
        <w:t>2</w:t>
      </w:r>
      <w:r>
        <w:rPr>
          <w:rFonts w:hint="eastAsia" w:asciiTheme="minorEastAsia" w:hAnsiTheme="minorEastAsia" w:eastAsiaTheme="minorEastAsia" w:cstheme="minorEastAsia"/>
          <w:color w:val="000000"/>
          <w:kern w:val="0"/>
          <w:sz w:val="24"/>
        </w:rPr>
        <w:t>日</w:t>
      </w:r>
      <w:r>
        <w:rPr>
          <w:rFonts w:hint="eastAsia" w:asciiTheme="minorEastAsia" w:hAnsiTheme="minorEastAsia" w:eastAsiaTheme="minorEastAsia" w:cstheme="minorEastAsia"/>
          <w:color w:val="000000"/>
          <w:kern w:val="0"/>
          <w:sz w:val="24"/>
          <w:u w:val="single"/>
          <w:lang w:val="en-US" w:eastAsia="zh-CN"/>
        </w:rPr>
        <w:t>10</w:t>
      </w:r>
      <w:r>
        <w:rPr>
          <w:rFonts w:hint="eastAsia" w:asciiTheme="minorEastAsia" w:hAnsiTheme="minorEastAsia" w:eastAsiaTheme="minorEastAsia" w:cstheme="minorEastAsia"/>
          <w:color w:val="000000"/>
          <w:kern w:val="0"/>
          <w:sz w:val="24"/>
        </w:rPr>
        <w:t>时</w:t>
      </w:r>
      <w:r>
        <w:rPr>
          <w:rFonts w:hint="eastAsia" w:asciiTheme="minorEastAsia" w:hAnsiTheme="minorEastAsia" w:eastAsiaTheme="minorEastAsia" w:cstheme="minorEastAsia"/>
          <w:color w:val="000000"/>
          <w:kern w:val="0"/>
          <w:sz w:val="24"/>
          <w:u w:val="single"/>
          <w:lang w:val="en-US" w:eastAsia="zh-CN"/>
        </w:rPr>
        <w:t>30</w:t>
      </w:r>
      <w:r>
        <w:rPr>
          <w:rFonts w:hint="eastAsia" w:asciiTheme="minorEastAsia" w:hAnsiTheme="minorEastAsia" w:eastAsiaTheme="minorEastAsia" w:cstheme="minorEastAsia"/>
          <w:color w:val="000000"/>
          <w:kern w:val="0"/>
          <w:sz w:val="24"/>
        </w:rPr>
        <w:t>分（北京时间）</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2、地点：</w:t>
      </w:r>
      <w:r>
        <w:rPr>
          <w:rFonts w:hint="eastAsia" w:asciiTheme="minorEastAsia" w:hAnsiTheme="minorEastAsia" w:eastAsiaTheme="minorEastAsia" w:cstheme="minorEastAsia"/>
          <w:sz w:val="24"/>
        </w:rPr>
        <w:t>平顶山市公共资源交易中心（平顶山市新城区行政综合办公楼7楼）;</w:t>
      </w:r>
      <w:r>
        <w:rPr>
          <w:rFonts w:hint="eastAsia" w:asciiTheme="minorEastAsia" w:hAnsiTheme="minorEastAsia" w:eastAsiaTheme="minorEastAsia" w:cstheme="minorEastAsia"/>
          <w:color w:val="000000"/>
          <w:kern w:val="0"/>
          <w:sz w:val="24"/>
        </w:rPr>
        <w:t>投标人须使用电子交易系统提供的投标文件制作工具进行电子投标文件的制作，并按要求上传经CA锁签章和加密的电子投标文件（.ZZTF格式）,加密电子投标文件逾期上传、未加密的电子投标文件（.nZZTF格式）及纸质投标文件逾期送达的或者未送达指定地点的，招标人均不予受理。</w:t>
      </w:r>
    </w:p>
    <w:bookmarkEnd w:id="22"/>
    <w:bookmarkEnd w:id="23"/>
    <w:p>
      <w:pPr>
        <w:spacing w:before="156" w:beforeLines="50" w:after="156" w:afterLines="50" w:line="336"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十、开标时间及地点</w:t>
      </w:r>
    </w:p>
    <w:p>
      <w:pPr>
        <w:spacing w:line="336" w:lineRule="auto"/>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1、时间：</w:t>
      </w:r>
      <w:r>
        <w:rPr>
          <w:rFonts w:hint="eastAsia" w:asciiTheme="minorEastAsia" w:hAnsiTheme="minorEastAsia" w:eastAsiaTheme="minorEastAsia" w:cstheme="minorEastAsia"/>
          <w:color w:val="000000"/>
          <w:kern w:val="0"/>
          <w:sz w:val="24"/>
          <w:u w:val="single"/>
        </w:rPr>
        <w:t>2019</w:t>
      </w:r>
      <w:r>
        <w:rPr>
          <w:rFonts w:hint="eastAsia" w:asciiTheme="minorEastAsia" w:hAnsiTheme="minorEastAsia" w:eastAsiaTheme="minorEastAsia" w:cstheme="minorEastAsia"/>
          <w:color w:val="000000"/>
          <w:kern w:val="0"/>
          <w:sz w:val="24"/>
        </w:rPr>
        <w:t>年</w:t>
      </w:r>
      <w:r>
        <w:rPr>
          <w:rFonts w:hint="eastAsia" w:asciiTheme="minorEastAsia" w:hAnsiTheme="minorEastAsia" w:eastAsiaTheme="minorEastAsia" w:cstheme="minorEastAsia"/>
          <w:color w:val="000000"/>
          <w:kern w:val="0"/>
          <w:sz w:val="24"/>
          <w:u w:val="single"/>
          <w:lang w:val="en-US" w:eastAsia="zh-CN"/>
        </w:rPr>
        <w:t>12</w:t>
      </w:r>
      <w:r>
        <w:rPr>
          <w:rFonts w:hint="eastAsia" w:asciiTheme="minorEastAsia" w:hAnsiTheme="minorEastAsia" w:eastAsiaTheme="minorEastAsia" w:cstheme="minorEastAsia"/>
          <w:color w:val="000000"/>
          <w:kern w:val="0"/>
          <w:sz w:val="24"/>
        </w:rPr>
        <w:t>月</w:t>
      </w:r>
      <w:r>
        <w:rPr>
          <w:rFonts w:hint="eastAsia" w:asciiTheme="minorEastAsia" w:hAnsiTheme="minorEastAsia" w:eastAsiaTheme="minorEastAsia" w:cstheme="minorEastAsia"/>
          <w:color w:val="000000"/>
          <w:kern w:val="0"/>
          <w:sz w:val="24"/>
          <w:u w:val="single"/>
          <w:lang w:val="en-US" w:eastAsia="zh-CN"/>
        </w:rPr>
        <w:t>2</w:t>
      </w:r>
      <w:r>
        <w:rPr>
          <w:rFonts w:hint="eastAsia" w:asciiTheme="minorEastAsia" w:hAnsiTheme="minorEastAsia" w:eastAsiaTheme="minorEastAsia" w:cstheme="minorEastAsia"/>
          <w:color w:val="000000"/>
          <w:kern w:val="0"/>
          <w:sz w:val="24"/>
        </w:rPr>
        <w:t>日</w:t>
      </w:r>
      <w:r>
        <w:rPr>
          <w:rFonts w:hint="eastAsia" w:asciiTheme="minorEastAsia" w:hAnsiTheme="minorEastAsia" w:eastAsiaTheme="minorEastAsia" w:cstheme="minorEastAsia"/>
          <w:color w:val="000000"/>
          <w:kern w:val="0"/>
          <w:sz w:val="24"/>
          <w:u w:val="single"/>
          <w:lang w:val="en-US" w:eastAsia="zh-CN"/>
        </w:rPr>
        <w:t>10</w:t>
      </w:r>
      <w:r>
        <w:rPr>
          <w:rFonts w:hint="eastAsia" w:asciiTheme="minorEastAsia" w:hAnsiTheme="minorEastAsia" w:eastAsiaTheme="minorEastAsia" w:cstheme="minorEastAsia"/>
          <w:color w:val="000000"/>
          <w:kern w:val="0"/>
          <w:sz w:val="24"/>
        </w:rPr>
        <w:t>时</w:t>
      </w:r>
      <w:r>
        <w:rPr>
          <w:rFonts w:hint="eastAsia" w:asciiTheme="minorEastAsia" w:hAnsiTheme="minorEastAsia" w:eastAsiaTheme="minorEastAsia" w:cstheme="minorEastAsia"/>
          <w:color w:val="000000"/>
          <w:kern w:val="0"/>
          <w:sz w:val="24"/>
          <w:u w:val="single"/>
          <w:lang w:val="en-US" w:eastAsia="zh-CN"/>
        </w:rPr>
        <w:t>30</w:t>
      </w:r>
      <w:r>
        <w:rPr>
          <w:rFonts w:hint="eastAsia" w:asciiTheme="minorEastAsia" w:hAnsiTheme="minorEastAsia" w:eastAsiaTheme="minorEastAsia" w:cstheme="minorEastAsia"/>
          <w:color w:val="000000"/>
          <w:kern w:val="0"/>
          <w:sz w:val="24"/>
        </w:rPr>
        <w:t>分（北京时间）</w:t>
      </w:r>
    </w:p>
    <w:p>
      <w:pPr>
        <w:spacing w:line="33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2、地点：</w:t>
      </w:r>
      <w:r>
        <w:rPr>
          <w:rFonts w:hint="eastAsia" w:asciiTheme="minorEastAsia" w:hAnsiTheme="minorEastAsia" w:eastAsiaTheme="minorEastAsia" w:cstheme="minorEastAsia"/>
          <w:sz w:val="24"/>
        </w:rPr>
        <w:t>平顶山市公共资源交易中心（平顶山市新城区行政综合办公楼7楼）,</w:t>
      </w:r>
      <w:r>
        <w:rPr>
          <w:rFonts w:hint="eastAsia" w:asciiTheme="minorEastAsia" w:hAnsiTheme="minorEastAsia" w:eastAsiaTheme="minorEastAsia" w:cstheme="minorEastAsia"/>
          <w:color w:val="000000"/>
          <w:kern w:val="0"/>
          <w:sz w:val="24"/>
        </w:rPr>
        <w:t>投标人必须携带企业CA密钥对本单位的加密电子投标文件进行解密。</w:t>
      </w:r>
    </w:p>
    <w:p>
      <w:pPr>
        <w:spacing w:before="156" w:beforeLines="50" w:after="156" w:afterLines="50" w:line="336"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十一、发布公告的媒介及招标公告期限</w:t>
      </w:r>
    </w:p>
    <w:p>
      <w:pPr>
        <w:autoSpaceDE w:val="0"/>
        <w:autoSpaceDN w:val="0"/>
        <w:spacing w:before="100" w:after="100" w:line="36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在《河南省电子招标投标公共服务平台》、《中国招标投标公共服务平台》、《河南省政府采购网》、《全国公共资源交易平台（河南省.平顶山市）》、《鲁山县政府采购网》、《河南英典工程管理有限公司官网》上同时发布。</w:t>
      </w:r>
    </w:p>
    <w:p>
      <w:pPr>
        <w:spacing w:before="156" w:beforeLines="50" w:after="156" w:afterLines="50" w:line="360" w:lineRule="auto"/>
        <w:rPr>
          <w:rFonts w:hint="eastAsia" w:asciiTheme="minorEastAsia" w:hAnsiTheme="minorEastAsia" w:eastAsiaTheme="minorEastAsia" w:cstheme="minorEastAsia"/>
          <w:b/>
          <w:sz w:val="24"/>
          <w:szCs w:val="24"/>
        </w:rPr>
      </w:pPr>
    </w:p>
    <w:p>
      <w:pPr>
        <w:spacing w:before="156" w:beforeLines="50" w:after="156" w:afterLines="50" w:line="360" w:lineRule="auto"/>
        <w:ind w:firstLine="354" w:firstLineChars="147"/>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十二、本次采购联系事项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  购  人：鲁山县生活垃圾处理场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人：王先生</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      址：鲁山县生活垃圾处理场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电      话：18613752388    </w:t>
      </w:r>
    </w:p>
    <w:p>
      <w:pPr>
        <w:pStyle w:val="15"/>
        <w:spacing w:line="360" w:lineRule="auto"/>
        <w:ind w:firstLine="480" w:firstLineChars="200"/>
        <w:rPr>
          <w:rFonts w:hint="eastAsia" w:asciiTheme="minorEastAsia" w:hAnsi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采购代理机构：河南英典工程管理有限公司</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人：凡先生    李先生</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址：郑州市金水区东明路218号索克大厦十层1016房</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话：0371-53777553  17530501567</w:t>
      </w:r>
    </w:p>
    <w:p>
      <w:pPr>
        <w:pStyle w:val="3"/>
        <w:tabs>
          <w:tab w:val="left" w:pos="2735"/>
          <w:tab w:val="center" w:pos="5101"/>
        </w:tabs>
        <w:ind w:left="420" w:leftChars="200"/>
        <w:jc w:val="left"/>
        <w:rPr>
          <w:rFonts w:hint="eastAsia" w:asciiTheme="minorEastAsia" w:hAnsiTheme="minorEastAsia" w:cstheme="minorEastAsia"/>
          <w:b w:val="0"/>
          <w:bCs w:val="0"/>
          <w:kern w:val="2"/>
          <w:sz w:val="24"/>
          <w:szCs w:val="24"/>
        </w:rPr>
      </w:pPr>
      <w:bookmarkStart w:id="24" w:name="_Toc9642"/>
      <w:bookmarkStart w:id="25" w:name="_Toc27911"/>
      <w:bookmarkStart w:id="26" w:name="_Toc1847"/>
      <w:bookmarkStart w:id="27" w:name="_Toc13160"/>
      <w:r>
        <w:rPr>
          <w:rFonts w:hint="eastAsia" w:asciiTheme="minorEastAsia" w:hAnsiTheme="minorEastAsia" w:cstheme="minorEastAsia"/>
          <w:b w:val="0"/>
          <w:bCs w:val="0"/>
          <w:kern w:val="2"/>
          <w:sz w:val="24"/>
          <w:szCs w:val="24"/>
        </w:rPr>
        <w:t>传      真：0371-60303687</w:t>
      </w:r>
      <w:bookmarkEnd w:id="24"/>
      <w:bookmarkEnd w:id="25"/>
      <w:bookmarkEnd w:id="26"/>
      <w:bookmarkEnd w:id="27"/>
      <w:r>
        <w:rPr>
          <w:rFonts w:hint="eastAsia" w:asciiTheme="minorEastAsia" w:hAnsiTheme="minorEastAsia" w:cstheme="minorEastAsia"/>
          <w:b w:val="0"/>
          <w:bCs w:val="0"/>
          <w:kern w:val="2"/>
          <w:sz w:val="24"/>
          <w:szCs w:val="24"/>
        </w:rPr>
        <w:t xml:space="preserve">       </w:t>
      </w: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监督单位：鲁山县财政局</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统一信用代码：11410423005487188A</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联系人：师先生</w:t>
      </w:r>
    </w:p>
    <w:p>
      <w:pPr>
        <w:ind w:right="315"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联系电话：0375-5057526</w:t>
      </w:r>
    </w:p>
    <w:p>
      <w:pPr>
        <w:snapToGrid w:val="0"/>
        <w:spacing w:line="360" w:lineRule="auto"/>
        <w:ind w:firstLine="480" w:firstLineChars="200"/>
        <w:jc w:val="center"/>
        <w:rPr>
          <w:rStyle w:val="36"/>
          <w:sz w:val="36"/>
          <w:szCs w:val="36"/>
        </w:rPr>
      </w:pPr>
      <w:r>
        <w:rPr>
          <w:rFonts w:hint="eastAsia" w:asciiTheme="minorEastAsia" w:hAnsiTheme="minorEastAsia" w:eastAsiaTheme="minorEastAsia" w:cstheme="minorEastAsia"/>
          <w:sz w:val="24"/>
        </w:rPr>
        <w:br w:type="page"/>
      </w:r>
      <w:bookmarkEnd w:id="2"/>
      <w:bookmarkEnd w:id="3"/>
      <w:bookmarkEnd w:id="4"/>
      <w:bookmarkEnd w:id="5"/>
      <w:bookmarkEnd w:id="6"/>
      <w:bookmarkEnd w:id="7"/>
      <w:bookmarkEnd w:id="8"/>
      <w:bookmarkEnd w:id="9"/>
      <w:bookmarkEnd w:id="10"/>
      <w:bookmarkEnd w:id="11"/>
      <w:bookmarkEnd w:id="12"/>
      <w:bookmarkEnd w:id="13"/>
      <w:bookmarkEnd w:id="14"/>
      <w:bookmarkStart w:id="28" w:name="_Toc21020"/>
      <w:bookmarkStart w:id="29" w:name="_Toc24896"/>
      <w:bookmarkStart w:id="30" w:name="_Toc24905"/>
      <w:bookmarkStart w:id="31" w:name="_Toc373253015"/>
      <w:bookmarkStart w:id="32" w:name="_Toc465325832"/>
      <w:bookmarkStart w:id="33" w:name="_Toc6883"/>
      <w:bookmarkStart w:id="34" w:name="_Toc10381"/>
      <w:bookmarkStart w:id="35" w:name="_Toc460517727"/>
      <w:bookmarkStart w:id="36" w:name="_Toc460517770"/>
    </w:p>
    <w:p>
      <w:pPr>
        <w:pStyle w:val="3"/>
        <w:spacing w:line="32" w:lineRule="atLeast"/>
        <w:rPr>
          <w:rStyle w:val="36"/>
          <w:b/>
          <w:bCs/>
          <w:sz w:val="36"/>
          <w:szCs w:val="36"/>
        </w:rPr>
      </w:pPr>
      <w:r>
        <w:tab/>
      </w:r>
      <w:bookmarkStart w:id="37" w:name="_Toc2713"/>
      <w:bookmarkStart w:id="38" w:name="_Toc32379"/>
      <w:bookmarkStart w:id="39" w:name="_Toc19742"/>
      <w:bookmarkStart w:id="40" w:name="_Toc20263"/>
      <w:bookmarkStart w:id="41" w:name="_Toc24061"/>
      <w:bookmarkStart w:id="42" w:name="_Toc18609"/>
      <w:r>
        <w:t xml:space="preserve"> </w:t>
      </w:r>
      <w:bookmarkStart w:id="43" w:name="_Toc31799"/>
      <w:r>
        <w:t xml:space="preserve"> </w:t>
      </w:r>
      <w:bookmarkStart w:id="44" w:name="_Toc22803"/>
      <w:bookmarkStart w:id="45" w:name="_Toc5890"/>
      <w:bookmarkStart w:id="46" w:name="_Toc31763"/>
      <w:bookmarkStart w:id="47" w:name="_Toc2371"/>
      <w:bookmarkStart w:id="48" w:name="_Toc24711"/>
      <w:bookmarkStart w:id="49" w:name="_Toc20280"/>
      <w:r>
        <w:rPr>
          <w:rStyle w:val="36"/>
          <w:rFonts w:hint="eastAsia"/>
          <w:b/>
          <w:bCs/>
          <w:sz w:val="36"/>
          <w:szCs w:val="36"/>
        </w:rPr>
        <w:t>第二章</w:t>
      </w:r>
      <w:r>
        <w:rPr>
          <w:rStyle w:val="36"/>
          <w:b/>
          <w:bCs/>
          <w:sz w:val="36"/>
          <w:szCs w:val="36"/>
        </w:rPr>
        <w:t xml:space="preserve"> </w:t>
      </w:r>
      <w:bookmarkEnd w:id="28"/>
      <w:bookmarkEnd w:id="29"/>
      <w:bookmarkEnd w:id="30"/>
      <w:bookmarkEnd w:id="37"/>
      <w:bookmarkEnd w:id="38"/>
      <w:bookmarkEnd w:id="39"/>
      <w:bookmarkEnd w:id="40"/>
      <w:bookmarkEnd w:id="41"/>
      <w:bookmarkEnd w:id="42"/>
      <w:bookmarkEnd w:id="43"/>
      <w:r>
        <w:rPr>
          <w:rStyle w:val="36"/>
          <w:rFonts w:hint="eastAsia"/>
          <w:b/>
          <w:bCs/>
          <w:sz w:val="36"/>
          <w:szCs w:val="36"/>
        </w:rPr>
        <w:t>磋商须知</w:t>
      </w:r>
      <w:bookmarkEnd w:id="44"/>
      <w:bookmarkEnd w:id="45"/>
      <w:bookmarkEnd w:id="46"/>
      <w:bookmarkEnd w:id="47"/>
      <w:bookmarkEnd w:id="48"/>
      <w:bookmarkEnd w:id="49"/>
    </w:p>
    <w:bookmarkEnd w:id="31"/>
    <w:bookmarkEnd w:id="32"/>
    <w:bookmarkEnd w:id="33"/>
    <w:bookmarkEnd w:id="34"/>
    <w:bookmarkEnd w:id="35"/>
    <w:bookmarkEnd w:id="36"/>
    <w:p>
      <w:pPr>
        <w:pStyle w:val="4"/>
        <w:spacing w:before="0" w:after="0"/>
        <w:ind w:firstLine="3213" w:firstLineChars="1000"/>
        <w:jc w:val="both"/>
        <w:rPr>
          <w:sz w:val="32"/>
        </w:rPr>
      </w:pPr>
      <w:bookmarkStart w:id="50" w:name="_Toc32486"/>
      <w:bookmarkStart w:id="51" w:name="_Toc14645"/>
      <w:bookmarkStart w:id="52" w:name="_Toc12216"/>
      <w:bookmarkStart w:id="53" w:name="_Toc4506"/>
      <w:bookmarkStart w:id="54" w:name="_Toc2425"/>
      <w:bookmarkStart w:id="55" w:name="_Toc11081"/>
      <w:bookmarkStart w:id="56" w:name="_Toc465325833"/>
      <w:bookmarkStart w:id="57" w:name="_Toc22735"/>
      <w:bookmarkStart w:id="58" w:name="_Toc14709"/>
      <w:bookmarkStart w:id="59" w:name="_Toc24713"/>
      <w:bookmarkStart w:id="60" w:name="_Toc23623"/>
      <w:bookmarkStart w:id="61" w:name="_Toc15752"/>
      <w:bookmarkStart w:id="62" w:name="_Toc22782"/>
      <w:bookmarkStart w:id="63" w:name="_Toc1733"/>
      <w:bookmarkStart w:id="64" w:name="_Toc22697"/>
      <w:bookmarkStart w:id="65" w:name="_Toc6162"/>
      <w:bookmarkStart w:id="66" w:name="_Toc28005"/>
      <w:r>
        <w:rPr>
          <w:rFonts w:hint="eastAsia"/>
          <w:sz w:val="32"/>
        </w:rPr>
        <w:t>一、磋商须知前附表</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Style w:val="1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13"/>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序 号</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6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kern w:val="0"/>
                <w:szCs w:val="21"/>
              </w:rPr>
              <w:t>采购单位</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lang w:val="zh-CN"/>
              </w:rPr>
            </w:pPr>
            <w:r>
              <w:rPr>
                <w:rFonts w:hint="eastAsia" w:ascii="宋体" w:hAnsi="宋体" w:cs="宋体"/>
                <w:kern w:val="0"/>
                <w:szCs w:val="21"/>
                <w:lang w:val="zh-CN"/>
              </w:rPr>
              <w:t>采</w:t>
            </w:r>
            <w:r>
              <w:rPr>
                <w:rFonts w:hint="eastAsia" w:ascii="宋体" w:hAnsi="宋体" w:cs="宋体"/>
                <w:kern w:val="0"/>
                <w:szCs w:val="21"/>
              </w:rPr>
              <w:t xml:space="preserve">  </w:t>
            </w:r>
            <w:r>
              <w:rPr>
                <w:rFonts w:hint="eastAsia" w:ascii="宋体" w:hAnsi="宋体" w:cs="宋体"/>
                <w:kern w:val="0"/>
                <w:szCs w:val="21"/>
                <w:lang w:val="zh-CN"/>
              </w:rPr>
              <w:t>购</w:t>
            </w:r>
            <w:r>
              <w:rPr>
                <w:rFonts w:hint="eastAsia" w:ascii="宋体" w:hAnsi="宋体" w:cs="宋体"/>
                <w:kern w:val="0"/>
                <w:szCs w:val="21"/>
              </w:rPr>
              <w:t xml:space="preserve">  </w:t>
            </w:r>
            <w:r>
              <w:rPr>
                <w:rFonts w:hint="eastAsia" w:ascii="宋体" w:hAnsi="宋体" w:cs="宋体"/>
                <w:kern w:val="0"/>
                <w:szCs w:val="21"/>
                <w:lang w:val="zh-CN"/>
              </w:rPr>
              <w:t>人：鲁山县生活垃圾处理场</w:t>
            </w:r>
          </w:p>
          <w:p>
            <w:pPr>
              <w:spacing w:line="360" w:lineRule="auto"/>
              <w:rPr>
                <w:rFonts w:ascii="宋体" w:hAnsi="宋体" w:cs="宋体"/>
                <w:kern w:val="0"/>
                <w:szCs w:val="21"/>
                <w:lang w:val="zh-CN"/>
              </w:rPr>
            </w:pPr>
            <w:r>
              <w:rPr>
                <w:rFonts w:hint="eastAsia" w:ascii="宋体" w:hAnsi="宋体" w:cs="宋体"/>
                <w:kern w:val="0"/>
                <w:szCs w:val="21"/>
                <w:lang w:val="zh-CN"/>
              </w:rPr>
              <w:t>联</w:t>
            </w:r>
            <w:r>
              <w:rPr>
                <w:rFonts w:hint="eastAsia" w:ascii="宋体" w:hAnsi="宋体" w:cs="宋体"/>
                <w:kern w:val="0"/>
                <w:szCs w:val="21"/>
              </w:rPr>
              <w:t xml:space="preserve">  </w:t>
            </w:r>
            <w:r>
              <w:rPr>
                <w:rFonts w:hint="eastAsia" w:ascii="宋体" w:hAnsi="宋体" w:cs="宋体"/>
                <w:kern w:val="0"/>
                <w:szCs w:val="21"/>
                <w:lang w:val="zh-CN"/>
              </w:rPr>
              <w:t>系</w:t>
            </w:r>
            <w:r>
              <w:rPr>
                <w:rFonts w:hint="eastAsia" w:ascii="宋体" w:hAnsi="宋体" w:cs="宋体"/>
                <w:kern w:val="0"/>
                <w:szCs w:val="21"/>
              </w:rPr>
              <w:t xml:space="preserve">  </w:t>
            </w:r>
            <w:r>
              <w:rPr>
                <w:rFonts w:hint="eastAsia" w:ascii="宋体" w:hAnsi="宋体" w:cs="宋体"/>
                <w:kern w:val="0"/>
                <w:szCs w:val="21"/>
                <w:lang w:val="zh-CN"/>
              </w:rPr>
              <w:t>人：王先生</w:t>
            </w:r>
          </w:p>
          <w:p>
            <w:pPr>
              <w:spacing w:line="360" w:lineRule="auto"/>
              <w:rPr>
                <w:rFonts w:ascii="宋体" w:hAnsi="宋体" w:cs="宋体"/>
                <w:kern w:val="0"/>
                <w:szCs w:val="21"/>
              </w:rPr>
            </w:pPr>
            <w:r>
              <w:rPr>
                <w:rFonts w:hint="eastAsia" w:ascii="宋体" w:hAnsi="宋体" w:cs="宋体"/>
                <w:kern w:val="0"/>
                <w:szCs w:val="21"/>
                <w:lang w:val="zh-CN"/>
              </w:rPr>
              <w:t>地</w:t>
            </w:r>
            <w:r>
              <w:rPr>
                <w:rFonts w:hint="eastAsia" w:ascii="宋体" w:hAnsi="宋体" w:cs="宋体"/>
                <w:kern w:val="0"/>
                <w:szCs w:val="21"/>
              </w:rPr>
              <w:t xml:space="preserve">      </w:t>
            </w:r>
            <w:r>
              <w:rPr>
                <w:rFonts w:hint="eastAsia" w:ascii="宋体" w:hAnsi="宋体" w:cs="宋体"/>
                <w:kern w:val="0"/>
                <w:szCs w:val="21"/>
                <w:lang w:val="zh-CN"/>
              </w:rPr>
              <w:t>址：鲁山县</w:t>
            </w:r>
            <w:r>
              <w:rPr>
                <w:rFonts w:hint="eastAsia" w:ascii="宋体" w:hAnsi="宋体" w:cs="宋体"/>
                <w:kern w:val="0"/>
                <w:szCs w:val="21"/>
              </w:rPr>
              <w:t xml:space="preserve">生活垃圾处理场                   </w:t>
            </w:r>
          </w:p>
          <w:p>
            <w:pPr>
              <w:spacing w:line="360" w:lineRule="auto"/>
              <w:rPr>
                <w:rFonts w:ascii="宋体" w:hAnsi="宋体" w:cs="宋体"/>
                <w:bCs/>
                <w:szCs w:val="21"/>
              </w:rPr>
            </w:pPr>
            <w:r>
              <w:rPr>
                <w:rFonts w:hint="eastAsia" w:ascii="宋体" w:hAnsi="宋体" w:cs="宋体"/>
                <w:kern w:val="0"/>
                <w:szCs w:val="21"/>
                <w:lang w:val="zh-CN"/>
              </w:rPr>
              <w:t>电</w:t>
            </w:r>
            <w:r>
              <w:rPr>
                <w:rFonts w:hint="eastAsia" w:ascii="宋体" w:hAnsi="宋体" w:cs="宋体"/>
                <w:kern w:val="0"/>
                <w:szCs w:val="21"/>
              </w:rPr>
              <w:t xml:space="preserve">      </w:t>
            </w:r>
            <w:r>
              <w:rPr>
                <w:rFonts w:hint="eastAsia" w:ascii="宋体" w:hAnsi="宋体" w:cs="宋体"/>
                <w:kern w:val="0"/>
                <w:szCs w:val="21"/>
                <w:lang w:val="zh-CN"/>
              </w:rPr>
              <w:t>话：</w:t>
            </w:r>
            <w:r>
              <w:rPr>
                <w:rFonts w:ascii="宋体" w:hAnsi="宋体" w:cs="宋体"/>
                <w:kern w:val="0"/>
                <w:szCs w:val="21"/>
              </w:rPr>
              <w:t>18613752388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代理机构</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lang w:val="zh-CN"/>
              </w:rPr>
            </w:pPr>
            <w:r>
              <w:rPr>
                <w:rFonts w:hint="eastAsia" w:ascii="宋体" w:hAnsi="宋体" w:cs="宋体"/>
                <w:kern w:val="0"/>
                <w:szCs w:val="21"/>
                <w:lang w:val="zh-CN"/>
              </w:rPr>
              <w:t>采购代理机构：河南英典工程管理有限公司</w:t>
            </w:r>
          </w:p>
          <w:p>
            <w:pPr>
              <w:spacing w:line="360" w:lineRule="auto"/>
              <w:rPr>
                <w:rFonts w:ascii="宋体" w:hAnsi="宋体" w:cs="宋体"/>
                <w:kern w:val="0"/>
                <w:szCs w:val="21"/>
                <w:lang w:val="zh-CN"/>
              </w:rPr>
            </w:pPr>
            <w:r>
              <w:rPr>
                <w:rFonts w:hint="eastAsia" w:ascii="宋体" w:hAnsi="宋体" w:cs="宋体"/>
                <w:kern w:val="0"/>
                <w:szCs w:val="21"/>
                <w:lang w:val="zh-CN"/>
              </w:rPr>
              <w:t>联</w:t>
            </w:r>
            <w:r>
              <w:rPr>
                <w:rFonts w:hint="eastAsia" w:ascii="宋体" w:hAnsi="宋体" w:cs="宋体"/>
                <w:kern w:val="0"/>
                <w:szCs w:val="21"/>
              </w:rPr>
              <w:t xml:space="preserve">  </w:t>
            </w:r>
            <w:r>
              <w:rPr>
                <w:rFonts w:hint="eastAsia" w:ascii="宋体" w:hAnsi="宋体" w:cs="宋体"/>
                <w:kern w:val="0"/>
                <w:szCs w:val="21"/>
                <w:lang w:val="zh-CN"/>
              </w:rPr>
              <w:t>系</w:t>
            </w:r>
            <w:r>
              <w:rPr>
                <w:rFonts w:hint="eastAsia" w:ascii="宋体" w:hAnsi="宋体" w:cs="宋体"/>
                <w:kern w:val="0"/>
                <w:szCs w:val="21"/>
              </w:rPr>
              <w:t xml:space="preserve">  </w:t>
            </w:r>
            <w:r>
              <w:rPr>
                <w:rFonts w:hint="eastAsia" w:ascii="宋体" w:hAnsi="宋体" w:cs="宋体"/>
                <w:kern w:val="0"/>
                <w:szCs w:val="21"/>
                <w:lang w:val="zh-CN"/>
              </w:rPr>
              <w:t>人：凡先生</w:t>
            </w:r>
            <w:r>
              <w:rPr>
                <w:rFonts w:hint="eastAsia" w:ascii="宋体" w:hAnsi="宋体" w:cs="宋体"/>
                <w:kern w:val="0"/>
                <w:szCs w:val="21"/>
              </w:rPr>
              <w:t xml:space="preserve">   </w:t>
            </w:r>
            <w:r>
              <w:rPr>
                <w:rFonts w:hint="eastAsia" w:ascii="宋体" w:hAnsi="宋体" w:cs="宋体"/>
                <w:kern w:val="0"/>
                <w:szCs w:val="21"/>
                <w:lang w:val="zh-CN"/>
              </w:rPr>
              <w:t>李先生</w:t>
            </w:r>
          </w:p>
          <w:p>
            <w:pPr>
              <w:spacing w:line="360" w:lineRule="auto"/>
              <w:rPr>
                <w:rFonts w:ascii="宋体" w:hAnsi="宋体" w:cs="宋体"/>
                <w:kern w:val="0"/>
                <w:szCs w:val="21"/>
                <w:lang w:val="zh-CN"/>
              </w:rPr>
            </w:pPr>
            <w:r>
              <w:rPr>
                <w:rFonts w:hint="eastAsia" w:ascii="宋体" w:hAnsi="宋体" w:cs="宋体"/>
                <w:kern w:val="0"/>
                <w:szCs w:val="21"/>
                <w:lang w:val="zh-CN"/>
              </w:rPr>
              <w:t xml:space="preserve">地  </w:t>
            </w:r>
            <w:r>
              <w:rPr>
                <w:rFonts w:hint="eastAsia" w:ascii="宋体" w:hAnsi="宋体" w:cs="宋体"/>
                <w:kern w:val="0"/>
                <w:szCs w:val="21"/>
              </w:rPr>
              <w:t xml:space="preserve">    </w:t>
            </w:r>
            <w:r>
              <w:rPr>
                <w:rFonts w:hint="eastAsia" w:ascii="宋体" w:hAnsi="宋体" w:cs="宋体"/>
                <w:kern w:val="0"/>
                <w:szCs w:val="21"/>
                <w:lang w:val="zh-CN"/>
              </w:rPr>
              <w:t>址：郑州市金水区东明路218号索克大厦十层101</w:t>
            </w:r>
            <w:r>
              <w:rPr>
                <w:rFonts w:hint="eastAsia" w:ascii="宋体" w:hAnsi="宋体" w:cs="宋体"/>
                <w:kern w:val="0"/>
                <w:szCs w:val="21"/>
              </w:rPr>
              <w:t>6</w:t>
            </w:r>
            <w:r>
              <w:rPr>
                <w:rFonts w:hint="eastAsia" w:ascii="宋体" w:hAnsi="宋体" w:cs="宋体"/>
                <w:kern w:val="0"/>
                <w:szCs w:val="21"/>
                <w:lang w:val="zh-CN"/>
              </w:rPr>
              <w:t>房</w:t>
            </w:r>
          </w:p>
          <w:p>
            <w:pPr>
              <w:spacing w:line="360" w:lineRule="auto"/>
              <w:rPr>
                <w:rFonts w:ascii="宋体" w:hAnsi="宋体" w:cs="宋体"/>
                <w:kern w:val="0"/>
                <w:szCs w:val="21"/>
              </w:rPr>
            </w:pPr>
            <w:r>
              <w:rPr>
                <w:rFonts w:hint="eastAsia" w:ascii="宋体" w:hAnsi="宋体" w:cs="宋体"/>
                <w:kern w:val="0"/>
                <w:szCs w:val="21"/>
                <w:lang w:val="zh-CN"/>
              </w:rPr>
              <w:t xml:space="preserve">电  </w:t>
            </w:r>
            <w:r>
              <w:rPr>
                <w:rFonts w:hint="eastAsia" w:ascii="宋体" w:hAnsi="宋体" w:cs="宋体"/>
                <w:kern w:val="0"/>
                <w:szCs w:val="21"/>
              </w:rPr>
              <w:t xml:space="preserve">    </w:t>
            </w:r>
            <w:r>
              <w:rPr>
                <w:rFonts w:hint="eastAsia" w:ascii="宋体" w:hAnsi="宋体" w:cs="宋体"/>
                <w:kern w:val="0"/>
                <w:szCs w:val="21"/>
                <w:lang w:val="zh-CN"/>
              </w:rPr>
              <w:t xml:space="preserve">话：0371-53777553  </w:t>
            </w:r>
            <w:r>
              <w:rPr>
                <w:rFonts w:hint="eastAsia" w:ascii="宋体" w:hAnsi="宋体" w:cs="宋体"/>
                <w:kern w:val="0"/>
                <w:szCs w:val="21"/>
              </w:rPr>
              <w:t>17530501567</w:t>
            </w:r>
          </w:p>
          <w:p>
            <w:pPr>
              <w:pStyle w:val="3"/>
              <w:tabs>
                <w:tab w:val="left" w:pos="2735"/>
                <w:tab w:val="center" w:pos="5101"/>
              </w:tabs>
              <w:jc w:val="left"/>
              <w:rPr>
                <w:rFonts w:ascii="宋体" w:hAnsi="宋体"/>
                <w:szCs w:val="21"/>
              </w:rPr>
            </w:pPr>
            <w:bookmarkStart w:id="67" w:name="_Toc13193"/>
            <w:r>
              <w:rPr>
                <w:rFonts w:hint="eastAsia" w:ascii="宋体" w:hAnsi="宋体"/>
                <w:b w:val="0"/>
                <w:bCs w:val="0"/>
                <w:kern w:val="0"/>
                <w:sz w:val="21"/>
                <w:szCs w:val="21"/>
                <w:lang w:val="zh-CN"/>
              </w:rPr>
              <w:t xml:space="preserve">传  </w:t>
            </w:r>
            <w:r>
              <w:rPr>
                <w:rFonts w:hint="eastAsia" w:ascii="宋体" w:hAnsi="宋体"/>
                <w:b w:val="0"/>
                <w:bCs w:val="0"/>
                <w:kern w:val="0"/>
                <w:sz w:val="21"/>
                <w:szCs w:val="21"/>
              </w:rPr>
              <w:t xml:space="preserve">    </w:t>
            </w:r>
            <w:r>
              <w:rPr>
                <w:rFonts w:hint="eastAsia" w:ascii="宋体" w:hAnsi="宋体"/>
                <w:b w:val="0"/>
                <w:bCs w:val="0"/>
                <w:kern w:val="0"/>
                <w:sz w:val="21"/>
                <w:szCs w:val="21"/>
                <w:lang w:val="zh-CN"/>
              </w:rPr>
              <w:t>真：0371-60303687</w:t>
            </w:r>
            <w:bookmarkEnd w:id="67"/>
            <w:r>
              <w:rPr>
                <w:rFonts w:hint="eastAsia" w:ascii="宋体" w:hAnsi="宋体"/>
                <w:b w:val="0"/>
                <w:bCs w:val="0"/>
                <w:kern w:val="0"/>
                <w:sz w:val="21"/>
                <w:szCs w:val="21"/>
              </w:rPr>
              <w:t xml:space="preserve">     </w:t>
            </w:r>
            <w:r>
              <w:rPr>
                <w:rFonts w:hint="eastAsia" w:ascii="宋体" w:hAnsi="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监督单位</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lang w:val="zh-CN"/>
              </w:rPr>
            </w:pPr>
            <w:r>
              <w:rPr>
                <w:rFonts w:hint="eastAsia" w:ascii="宋体" w:hAnsi="宋体" w:cs="宋体"/>
                <w:kern w:val="0"/>
                <w:szCs w:val="21"/>
                <w:lang w:val="zh-CN"/>
              </w:rPr>
              <w:t>监督单位：鲁山县财政局</w:t>
            </w:r>
          </w:p>
          <w:p>
            <w:pPr>
              <w:spacing w:line="360" w:lineRule="auto"/>
              <w:jc w:val="left"/>
              <w:rPr>
                <w:rFonts w:ascii="宋体" w:hAnsi="宋体" w:cs="宋体"/>
                <w:kern w:val="0"/>
                <w:szCs w:val="21"/>
                <w:lang w:val="zh-CN"/>
              </w:rPr>
            </w:pPr>
            <w:r>
              <w:rPr>
                <w:rFonts w:hint="eastAsia" w:ascii="宋体" w:hAnsi="宋体" w:cs="宋体"/>
                <w:kern w:val="0"/>
                <w:szCs w:val="21"/>
                <w:lang w:val="zh-CN"/>
              </w:rPr>
              <w:t>统一信用代码：11410423005487188A</w:t>
            </w:r>
          </w:p>
          <w:p>
            <w:pPr>
              <w:spacing w:line="360" w:lineRule="auto"/>
              <w:jc w:val="left"/>
              <w:rPr>
                <w:rFonts w:ascii="宋体" w:hAnsi="宋体" w:cs="宋体"/>
                <w:kern w:val="0"/>
                <w:szCs w:val="21"/>
                <w:lang w:val="zh-CN"/>
              </w:rPr>
            </w:pPr>
            <w:r>
              <w:rPr>
                <w:rFonts w:hint="eastAsia" w:ascii="宋体" w:hAnsi="宋体" w:cs="宋体"/>
                <w:kern w:val="0"/>
                <w:szCs w:val="21"/>
                <w:lang w:val="zh-CN"/>
              </w:rPr>
              <w:t>联系人：师先生</w:t>
            </w:r>
          </w:p>
          <w:p>
            <w:pPr>
              <w:ind w:right="315"/>
              <w:jc w:val="left"/>
            </w:pPr>
            <w:r>
              <w:rPr>
                <w:rFonts w:hint="eastAsia" w:ascii="宋体" w:hAnsi="宋体" w:cs="宋体"/>
                <w:kern w:val="0"/>
                <w:szCs w:val="21"/>
                <w:lang w:val="zh-CN"/>
              </w:rPr>
              <w:t>联系电话：0375-5057526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 xml:space="preserve">项目名称  </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bCs/>
                <w:szCs w:val="21"/>
              </w:rPr>
            </w:pPr>
            <w:r>
              <w:rPr>
                <w:rFonts w:hint="eastAsia"/>
              </w:rPr>
              <w:t>鲁山县城南新区（和平农贸市场）垃圾中转站项目</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资金来源</w:t>
            </w:r>
          </w:p>
        </w:tc>
        <w:tc>
          <w:tcPr>
            <w:tcW w:w="6667" w:type="dxa"/>
            <w:tcBorders>
              <w:top w:val="single" w:color="auto" w:sz="4" w:space="0"/>
              <w:left w:val="single" w:color="auto" w:sz="4" w:space="0"/>
              <w:bottom w:val="single" w:color="auto" w:sz="4" w:space="0"/>
              <w:right w:val="single" w:color="auto" w:sz="4" w:space="0"/>
            </w:tcBorders>
            <w:vAlign w:val="center"/>
          </w:tcPr>
          <w:p>
            <w:pPr>
              <w:pStyle w:val="34"/>
              <w:jc w:val="both"/>
              <w:rPr>
                <w:rFonts w:hAnsi="宋体"/>
                <w:color w:val="auto"/>
                <w:sz w:val="21"/>
                <w:szCs w:val="21"/>
              </w:rPr>
            </w:pPr>
            <w:r>
              <w:rPr>
                <w:rFonts w:hint="eastAsia" w:hAnsi="宋体"/>
                <w:sz w:val="21"/>
                <w:szCs w:val="21"/>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highlight w:val="yellow"/>
              </w:rPr>
            </w:pPr>
            <w:r>
              <w:rPr>
                <w:rFonts w:hint="eastAsia"/>
              </w:rPr>
              <w:t>工程概况</w:t>
            </w:r>
          </w:p>
        </w:tc>
        <w:tc>
          <w:tcPr>
            <w:tcW w:w="6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20" w:lineRule="auto"/>
              <w:ind w:firstLine="420" w:firstLineChars="200"/>
              <w:jc w:val="left"/>
            </w:pPr>
            <w:r>
              <w:rPr>
                <w:rFonts w:hint="eastAsia" w:ascii="宋体" w:hAnsi="宋体" w:cs="宋体"/>
                <w:szCs w:val="21"/>
              </w:rPr>
              <w:t>鲁山县城南新区（和平农贸市场）垃圾中转站建设项目。主要内容包括垃圾中转土建、给排水、电气、厂区室外进站路、门前场地硬化、检查井、化粪池、沉淀池及污水井等。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计划工期</w:t>
            </w:r>
          </w:p>
        </w:tc>
        <w:tc>
          <w:tcPr>
            <w:tcW w:w="666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质量要求</w:t>
            </w:r>
          </w:p>
        </w:tc>
        <w:tc>
          <w:tcPr>
            <w:tcW w:w="6667" w:type="dxa"/>
            <w:tcBorders>
              <w:top w:val="single" w:color="auto" w:sz="4" w:space="0"/>
              <w:left w:val="single" w:color="auto" w:sz="4" w:space="0"/>
              <w:bottom w:val="single" w:color="auto" w:sz="4" w:space="0"/>
              <w:right w:val="single" w:color="auto" w:sz="4" w:space="0"/>
            </w:tcBorders>
            <w:vAlign w:val="center"/>
          </w:tcPr>
          <w:p>
            <w:pPr>
              <w:pStyle w:val="34"/>
              <w:jc w:val="both"/>
              <w:rPr>
                <w:rFonts w:hAnsi="宋体"/>
                <w:color w:val="auto"/>
                <w:sz w:val="21"/>
                <w:szCs w:val="21"/>
              </w:rPr>
            </w:pPr>
            <w:r>
              <w:rPr>
                <w:rFonts w:hint="eastAsia" w:hAnsi="宋体"/>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项目地点</w:t>
            </w:r>
          </w:p>
        </w:tc>
        <w:tc>
          <w:tcPr>
            <w:tcW w:w="6667" w:type="dxa"/>
            <w:tcBorders>
              <w:top w:val="single" w:color="auto" w:sz="4" w:space="0"/>
              <w:left w:val="single" w:color="auto" w:sz="4" w:space="0"/>
              <w:bottom w:val="single" w:color="auto" w:sz="4" w:space="0"/>
              <w:right w:val="single" w:color="auto" w:sz="4" w:space="0"/>
            </w:tcBorders>
            <w:vAlign w:val="center"/>
          </w:tcPr>
          <w:p>
            <w:pPr>
              <w:tabs>
                <w:tab w:val="left" w:pos="7575"/>
              </w:tabs>
              <w:spacing w:line="420" w:lineRule="auto"/>
              <w:jc w:val="left"/>
              <w:rPr>
                <w:rFonts w:hAnsi="宋体"/>
                <w:szCs w:val="21"/>
              </w:rPr>
            </w:pPr>
            <w:r>
              <w:rPr>
                <w:rFonts w:hint="eastAsia" w:ascii="宋体" w:hAnsi="宋体" w:cs="宋体"/>
                <w:kern w:val="0"/>
                <w:szCs w:val="21"/>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color w:val="000000"/>
                <w:szCs w:val="21"/>
              </w:rPr>
            </w:pPr>
            <w:r>
              <w:rPr>
                <w:rFonts w:hint="eastAsia" w:ascii="宋体" w:hAnsi="宋体" w:cs="宋体"/>
                <w:bCs/>
                <w:color w:val="000000"/>
                <w:szCs w:val="21"/>
              </w:rPr>
              <w:t>供应商资格要求</w:t>
            </w:r>
          </w:p>
          <w:p>
            <w:pPr>
              <w:spacing w:line="480" w:lineRule="exact"/>
              <w:jc w:val="center"/>
              <w:rPr>
                <w:rFonts w:ascii="宋体" w:hAnsi="宋体" w:cs="宋体"/>
                <w:szCs w:val="21"/>
              </w:rPr>
            </w:pP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outlineLvl w:val="0"/>
              <w:rPr>
                <w:rFonts w:ascii="宋体" w:hAnsi="宋体" w:cs="宋体"/>
                <w:color w:val="000000"/>
                <w:szCs w:val="21"/>
              </w:rPr>
            </w:pPr>
            <w:r>
              <w:rPr>
                <w:rFonts w:hint="eastAsia" w:ascii="宋体" w:hAnsi="宋体" w:cs="宋体"/>
                <w:color w:val="000000"/>
                <w:szCs w:val="21"/>
              </w:rPr>
              <w:t>供应商须符合《中华人民共和国政府采购法》二十二条规定:</w:t>
            </w:r>
          </w:p>
          <w:p>
            <w:pPr>
              <w:spacing w:line="360" w:lineRule="auto"/>
              <w:ind w:firstLine="420" w:firstLineChars="200"/>
              <w:outlineLvl w:val="0"/>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.1供应商具有独立法人资格，具有有效的营业执照、税务登记证、组织机构代码证或提供三证合一的营业执照，企业银行基本账户开户许可证；</w:t>
            </w:r>
          </w:p>
          <w:p>
            <w:pPr>
              <w:spacing w:line="360" w:lineRule="auto"/>
              <w:ind w:firstLine="420" w:firstLineChars="200"/>
              <w:rPr>
                <w:rFonts w:ascii="宋体" w:hAnsi="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.2.供应商须具有建筑工程施工总承包叁级及以上（含叁级）企业资质和有效的安全生产许可证；</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宋体" w:hAnsi="宋体" w:cs="宋体"/>
                <w:color w:val="000000"/>
                <w:szCs w:val="21"/>
                <w:lang w:val="en-US" w:eastAsia="zh-CN"/>
              </w:rPr>
              <w:t>10</w:t>
            </w:r>
            <w:r>
              <w:rPr>
                <w:rFonts w:hint="eastAsia" w:ascii="宋体" w:hAnsi="宋体" w:cs="宋体"/>
                <w:color w:val="000000"/>
                <w:szCs w:val="21"/>
              </w:rPr>
              <w:t>.3.供应商须具备良好的财务状况：财务没有被接管、冻结、破产状态</w:t>
            </w:r>
            <w:r>
              <w:rPr>
                <w:rFonts w:hint="eastAsia" w:asciiTheme="minorEastAsia" w:hAnsiTheme="minorEastAsia" w:eastAsiaTheme="minorEastAsia" w:cstheme="minorEastAsia"/>
                <w:color w:val="000000"/>
                <w:sz w:val="21"/>
                <w:szCs w:val="21"/>
              </w:rPr>
              <w:t>，具有有效的近一年（2018年度，若供应商成立年限不足一年的，需提供企业成立后各年度的）财务审计报告书；</w:t>
            </w:r>
          </w:p>
          <w:p>
            <w:pPr>
              <w:spacing w:line="360" w:lineRule="auto"/>
              <w:ind w:firstLine="420" w:firstLineChars="200"/>
              <w:rPr>
                <w:rFonts w:hint="eastAsia" w:asciiTheme="minorEastAsia" w:hAnsiTheme="minorEastAsia" w:eastAsiaTheme="minorEastAsia" w:cstheme="minorEastAsia"/>
                <w:i w:val="0"/>
                <w:caps w:val="0"/>
                <w:color w:val="000000"/>
                <w:spacing w:val="0"/>
                <w:sz w:val="21"/>
                <w:szCs w:val="21"/>
                <w:shd w:val="clear" w:fill="FFFFFF"/>
                <w:lang w:eastAsia="zh-CN"/>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i w:val="0"/>
                <w:caps w:val="0"/>
                <w:color w:val="000000"/>
                <w:spacing w:val="0"/>
                <w:sz w:val="21"/>
                <w:szCs w:val="21"/>
                <w:shd w:val="clear" w:fill="FFFFFF"/>
              </w:rPr>
              <w:t>供应商须提供“信用中国”网站</w:t>
            </w:r>
            <w:r>
              <w:rPr>
                <w:rFonts w:hint="eastAsia" w:asciiTheme="minorEastAsia" w:hAnsiTheme="minorEastAsia" w:eastAsiaTheme="minorEastAsia" w:cstheme="minorEastAsia"/>
                <w:i w:val="0"/>
                <w:caps w:val="0"/>
                <w:color w:val="000000"/>
                <w:spacing w:val="0"/>
                <w:sz w:val="21"/>
                <w:szCs w:val="21"/>
                <w:shd w:val="clear" w:fill="FFFFFF"/>
                <w:lang w:eastAsia="zh-CN"/>
              </w:rPr>
              <w:t>的“</w:t>
            </w:r>
            <w:r>
              <w:rPr>
                <w:rFonts w:hint="eastAsia" w:asciiTheme="minorEastAsia" w:hAnsiTheme="minorEastAsia" w:eastAsiaTheme="minorEastAsia" w:cstheme="minorEastAsia"/>
                <w:i w:val="0"/>
                <w:caps w:val="0"/>
                <w:color w:val="000000"/>
                <w:spacing w:val="0"/>
                <w:sz w:val="21"/>
                <w:szCs w:val="21"/>
                <w:shd w:val="clear" w:fill="FFFFFF"/>
              </w:rPr>
              <w:t>失信被执行人</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和</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重大税收违法案件当事人名单</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 xml:space="preserve"> </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中国政府采购</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网</w:t>
            </w:r>
            <w:r>
              <w:rPr>
                <w:rFonts w:hint="eastAsia" w:asciiTheme="minorEastAsia" w:hAnsiTheme="minorEastAsia" w:eastAsiaTheme="minorEastAsia" w:cstheme="minorEastAsia"/>
                <w:i w:val="0"/>
                <w:caps w:val="0"/>
                <w:color w:val="000000"/>
                <w:spacing w:val="0"/>
                <w:sz w:val="21"/>
                <w:szCs w:val="21"/>
                <w:shd w:val="clear" w:fill="FFFFFF"/>
                <w:lang w:eastAsia="zh-CN"/>
              </w:rPr>
              <w:t>站</w:t>
            </w:r>
            <w:r>
              <w:rPr>
                <w:rFonts w:hint="eastAsia" w:asciiTheme="minorEastAsia" w:hAnsiTheme="minorEastAsia" w:eastAsiaTheme="minorEastAsia" w:cstheme="minorEastAsia"/>
                <w:i w:val="0"/>
                <w:caps w:val="0"/>
                <w:color w:val="000000"/>
                <w:spacing w:val="0"/>
                <w:sz w:val="21"/>
                <w:szCs w:val="21"/>
                <w:shd w:val="clear" w:fill="FFFFFF"/>
              </w:rPr>
              <w:t>的</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政府采购严重违法失信行为名单</w:t>
            </w:r>
            <w:r>
              <w:rPr>
                <w:rFonts w:hint="eastAsia" w:asciiTheme="minorEastAsia" w:hAnsiTheme="minorEastAsia" w:eastAsiaTheme="minorEastAsia" w:cstheme="minorEastAsia"/>
                <w:i w:val="0"/>
                <w:caps w:val="0"/>
                <w:color w:val="000000"/>
                <w:spacing w:val="0"/>
                <w:sz w:val="21"/>
                <w:szCs w:val="21"/>
                <w:shd w:val="clear" w:fill="FFFFFF"/>
                <w:lang w:eastAsia="zh-CN"/>
              </w:rPr>
              <w:t>”</w:t>
            </w:r>
            <w:r>
              <w:rPr>
                <w:rFonts w:hint="eastAsia" w:asciiTheme="minorEastAsia" w:hAnsiTheme="minorEastAsia" w:eastAsiaTheme="minorEastAsia" w:cstheme="minorEastAsia"/>
                <w:i w:val="0"/>
                <w:caps w:val="0"/>
                <w:color w:val="000000"/>
                <w:spacing w:val="0"/>
                <w:sz w:val="21"/>
                <w:szCs w:val="21"/>
                <w:shd w:val="clear" w:fill="FFFFFF"/>
              </w:rPr>
              <w:t>，查询结果页面截图，若有不良记录报名无效，执行财库</w:t>
            </w:r>
            <w:r>
              <w:rPr>
                <w:rFonts w:hint="eastAsia" w:asciiTheme="minorEastAsia" w:hAnsiTheme="minorEastAsia" w:eastAsiaTheme="minorEastAsia" w:cstheme="minorEastAsia"/>
                <w:i w:val="0"/>
                <w:caps w:val="0"/>
                <w:color w:val="000000"/>
                <w:spacing w:val="0"/>
                <w:sz w:val="21"/>
                <w:szCs w:val="21"/>
                <w:u w:val="none"/>
                <w:shd w:val="clear" w:fill="FFFFFF"/>
                <w:lang w:val="en-US"/>
              </w:rPr>
              <w:t>[2016]125</w:t>
            </w:r>
            <w:r>
              <w:rPr>
                <w:rFonts w:hint="eastAsia" w:asciiTheme="minorEastAsia" w:hAnsiTheme="minorEastAsia" w:eastAsiaTheme="minorEastAsia" w:cstheme="minorEastAsia"/>
                <w:i w:val="0"/>
                <w:caps w:val="0"/>
                <w:color w:val="000000"/>
                <w:spacing w:val="0"/>
                <w:sz w:val="21"/>
                <w:szCs w:val="21"/>
                <w:shd w:val="clear" w:fill="FFFFFF"/>
              </w:rPr>
              <w:t>号文</w:t>
            </w:r>
            <w:r>
              <w:rPr>
                <w:rFonts w:hint="eastAsia" w:asciiTheme="minorEastAsia" w:hAnsiTheme="minorEastAsia" w:eastAsiaTheme="minorEastAsia" w:cstheme="minorEastAsia"/>
                <w:i w:val="0"/>
                <w:caps w:val="0"/>
                <w:color w:val="000000"/>
                <w:spacing w:val="0"/>
                <w:sz w:val="21"/>
                <w:szCs w:val="21"/>
                <w:shd w:val="clear" w:fill="FFFFFF"/>
                <w:lang w:eastAsia="zh-CN"/>
              </w:rPr>
              <w:t>；</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.5供应商须具有第三方信用服务机构出具的信用报告（</w:t>
            </w:r>
            <w:r>
              <w:rPr>
                <w:rFonts w:hint="eastAsia" w:asciiTheme="minorEastAsia" w:hAnsiTheme="minorEastAsia" w:eastAsiaTheme="minorEastAsia" w:cstheme="minorEastAsia"/>
                <w:color w:val="000000"/>
                <w:sz w:val="21"/>
                <w:szCs w:val="21"/>
                <w:lang w:eastAsia="zh-CN"/>
              </w:rPr>
              <w:t>或</w:t>
            </w:r>
            <w:r>
              <w:rPr>
                <w:rFonts w:hint="eastAsia" w:asciiTheme="minorEastAsia" w:hAnsiTheme="minorEastAsia" w:eastAsiaTheme="minorEastAsia" w:cstheme="minorEastAsia"/>
                <w:color w:val="000000"/>
                <w:sz w:val="21"/>
                <w:szCs w:val="21"/>
              </w:rPr>
              <w:t>提供信用等级证书）；</w:t>
            </w:r>
          </w:p>
          <w:p>
            <w:pPr>
              <w:spacing w:line="360" w:lineRule="auto"/>
              <w:ind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kern w:val="0"/>
                <w:sz w:val="21"/>
                <w:szCs w:val="21"/>
              </w:rPr>
              <w:t>具有依法缴纳税收和社会保障资金的良好记录；【提供2019年以来任意一个月依法缴纳税收和社会保障资金的相关证明材料】；</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cs="宋体"/>
                <w:color w:val="000000"/>
                <w:szCs w:val="21"/>
                <w:lang w:val="en-US" w:eastAsia="zh-CN"/>
              </w:rPr>
              <w:t>10.7</w:t>
            </w:r>
            <w:r>
              <w:rPr>
                <w:rFonts w:hint="eastAsia" w:ascii="宋体" w:hAnsi="宋体" w:cs="宋体"/>
                <w:color w:val="000000"/>
                <w:szCs w:val="21"/>
                <w:lang w:eastAsia="zh-CN"/>
              </w:rPr>
              <w:t>本项目采用资格后审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513" w:type="dxa"/>
            <w:tcBorders>
              <w:top w:val="single" w:color="auto" w:sz="4" w:space="0"/>
              <w:left w:val="single" w:color="auto" w:sz="4" w:space="0"/>
              <w:bottom w:val="single" w:color="auto" w:sz="4" w:space="0"/>
              <w:right w:val="single" w:color="auto" w:sz="4" w:space="0"/>
            </w:tcBorders>
            <w:vAlign w:val="center"/>
          </w:tcPr>
          <w:p>
            <w:pPr>
              <w:pStyle w:val="34"/>
              <w:spacing w:line="480" w:lineRule="exact"/>
              <w:jc w:val="center"/>
              <w:rPr>
                <w:rFonts w:hAnsi="宋体"/>
                <w:color w:val="auto"/>
                <w:sz w:val="21"/>
                <w:szCs w:val="21"/>
              </w:rPr>
            </w:pPr>
            <w:r>
              <w:rPr>
                <w:rFonts w:hint="eastAsia" w:hAnsi="宋体"/>
                <w:color w:val="auto"/>
                <w:sz w:val="21"/>
                <w:szCs w:val="21"/>
              </w:rPr>
              <w:t>联合体投标</w:t>
            </w:r>
          </w:p>
        </w:tc>
        <w:tc>
          <w:tcPr>
            <w:tcW w:w="6667" w:type="dxa"/>
            <w:tcBorders>
              <w:top w:val="single" w:color="auto" w:sz="4" w:space="0"/>
              <w:left w:val="single" w:color="auto" w:sz="4" w:space="0"/>
              <w:bottom w:val="single" w:color="auto" w:sz="4" w:space="0"/>
              <w:right w:val="single" w:color="auto" w:sz="4" w:space="0"/>
            </w:tcBorders>
            <w:vAlign w:val="center"/>
          </w:tcPr>
          <w:p>
            <w:pPr>
              <w:pStyle w:val="8"/>
              <w:tabs>
                <w:tab w:val="left" w:pos="1334"/>
              </w:tabs>
              <w:snapToGrid w:val="0"/>
              <w:spacing w:line="480" w:lineRule="exact"/>
              <w:rPr>
                <w:rFonts w:hAnsi="宋体" w:cs="宋体"/>
              </w:rPr>
            </w:pPr>
            <w:r>
              <w:rPr>
                <w:rFonts w:hint="eastAsia" w:hAnsi="宋体" w:cs="宋体"/>
              </w:rPr>
              <w:t>不接受</w:t>
            </w:r>
            <w:r>
              <w:rPr>
                <w:rFonts w:hint="eastAsia" w:hAnsi="宋体" w:cs="宋体"/>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kern w:val="0"/>
                <w:szCs w:val="21"/>
              </w:rPr>
            </w:pPr>
            <w:r>
              <w:rPr>
                <w:rFonts w:hint="eastAsia" w:ascii="宋体" w:hAnsi="宋体" w:cs="宋体"/>
                <w:kern w:val="0"/>
                <w:szCs w:val="21"/>
              </w:rPr>
              <w:t>接受澄清要求</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kern w:val="0"/>
                <w:szCs w:val="21"/>
              </w:rPr>
            </w:pPr>
            <w:r>
              <w:rPr>
                <w:rFonts w:hint="eastAsia" w:ascii="宋体" w:hAnsi="宋体" w:cs="宋体"/>
                <w:kern w:val="0"/>
                <w:szCs w:val="21"/>
              </w:rPr>
              <w:t>供应商应在递交</w:t>
            </w:r>
            <w:r>
              <w:rPr>
                <w:rFonts w:hint="eastAsia"/>
              </w:rPr>
              <w:t>响应文件截止之日</w:t>
            </w:r>
            <w:r>
              <w:rPr>
                <w:rFonts w:hint="eastAsia" w:ascii="宋体" w:hAnsi="宋体" w:cs="宋体"/>
                <w:kern w:val="0"/>
                <w:szCs w:val="21"/>
              </w:rPr>
              <w:t>五日前，将需要答疑的问题在电子交易系统中提出，要求采购人对竞争性磋商文件予以澄清。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13</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kern w:val="0"/>
                <w:szCs w:val="21"/>
              </w:rPr>
            </w:pPr>
            <w:r>
              <w:rPr>
                <w:rFonts w:hint="eastAsia" w:ascii="宋体" w:hAnsi="宋体" w:cs="宋体"/>
                <w:kern w:val="0"/>
                <w:szCs w:val="21"/>
              </w:rPr>
              <w:t>磋商有效期</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kern w:val="0"/>
                <w:szCs w:val="21"/>
              </w:rPr>
            </w:pPr>
            <w:r>
              <w:rPr>
                <w:rFonts w:hint="eastAsia" w:ascii="宋体" w:hAnsi="宋体" w:cs="宋体"/>
                <w:kern w:val="0"/>
                <w:szCs w:val="21"/>
              </w:rPr>
              <w:t>60 日历天（从磋商响应文件递交截止之日算起）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14</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响应性文件份数</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szCs w:val="21"/>
                <w:highlight w:val="yellow"/>
              </w:rPr>
              <w:t>不加密电子档（</w:t>
            </w:r>
            <w:r>
              <w:rPr>
                <w:szCs w:val="21"/>
                <w:highlight w:val="yellow"/>
              </w:rPr>
              <w:t>U</w:t>
            </w:r>
            <w:r>
              <w:rPr>
                <w:rFonts w:hint="eastAsia"/>
                <w:szCs w:val="21"/>
                <w:highlight w:val="yellow"/>
              </w:rPr>
              <w:t>盘）：</w:t>
            </w:r>
            <w:r>
              <w:rPr>
                <w:szCs w:val="21"/>
                <w:highlight w:val="yellow"/>
              </w:rPr>
              <w:t>1</w:t>
            </w:r>
            <w:r>
              <w:rPr>
                <w:rFonts w:hint="eastAsia"/>
                <w:szCs w:val="21"/>
                <w:highlight w:val="yellow"/>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szCs w:val="21"/>
              </w:rPr>
            </w:pPr>
            <w:r>
              <w:rPr>
                <w:rFonts w:hint="eastAsia" w:ascii="宋体" w:hAnsi="宋体" w:cs="宋体"/>
                <w:szCs w:val="21"/>
              </w:rPr>
              <w:t>签字或盖章要求</w:t>
            </w:r>
          </w:p>
        </w:tc>
        <w:tc>
          <w:tcPr>
            <w:tcW w:w="6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left"/>
              <w:rPr>
                <w:rFonts w:ascii="宋体" w:hAnsi="宋体" w:cs="宋体"/>
                <w:szCs w:val="21"/>
              </w:rPr>
            </w:pPr>
            <w:r>
              <w:rPr>
                <w:rFonts w:hint="eastAsia" w:ascii="宋体" w:hAnsi="宋体" w:cs="宋体"/>
                <w:szCs w:val="21"/>
              </w:rPr>
              <w:t>响应文件应按竞争性磋商文件要求签字和盖章。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16</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szCs w:val="21"/>
              </w:rPr>
            </w:pPr>
            <w:r>
              <w:rPr>
                <w:rFonts w:hint="eastAsia" w:ascii="宋体" w:hAnsi="宋体" w:cs="宋体"/>
                <w:szCs w:val="21"/>
              </w:rPr>
              <w:t>评审小组的组成</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评审小组由3人以上单数组成，其中采购人委托业主代表。</w:t>
            </w:r>
          </w:p>
          <w:p>
            <w:pPr>
              <w:spacing w:line="360" w:lineRule="auto"/>
              <w:rPr>
                <w:rFonts w:ascii="宋体" w:hAnsi="宋体" w:cs="宋体"/>
                <w:color w:val="000000"/>
                <w:szCs w:val="21"/>
              </w:rPr>
            </w:pPr>
            <w:r>
              <w:rPr>
                <w:rFonts w:hint="eastAsia" w:ascii="宋体" w:hAnsi="宋体" w:cs="宋体"/>
                <w:color w:val="000000"/>
                <w:szCs w:val="21"/>
              </w:rPr>
              <w:t>确定磋商专家方式：竞争性磋商前在专家库中随机抽取。</w:t>
            </w:r>
          </w:p>
          <w:p>
            <w:pPr>
              <w:spacing w:line="360" w:lineRule="auto"/>
              <w:rPr>
                <w:rFonts w:ascii="宋体" w:hAnsi="宋体" w:cs="宋体"/>
                <w:color w:val="000000"/>
                <w:szCs w:val="21"/>
              </w:rPr>
            </w:pPr>
            <w:r>
              <w:rPr>
                <w:rFonts w:hint="eastAsia" w:ascii="宋体" w:hAnsi="宋体" w:cs="宋体"/>
                <w:color w:val="000000"/>
                <w:szCs w:val="21"/>
              </w:rPr>
              <w:t>备注：上述规定为一组评审专家组成方式，根据项目标段数量和评标工作量，可由多组专家完成评审，但每个标段只能由一组专家评审。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17</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cs="宋体"/>
                <w:szCs w:val="21"/>
              </w:rPr>
            </w:pPr>
            <w:r>
              <w:rPr>
                <w:rFonts w:hint="eastAsia" w:ascii="宋体" w:hAnsi="宋体" w:cs="宋体"/>
                <w:szCs w:val="21"/>
              </w:rPr>
              <w:t>是否授权评审小组确定成交人</w:t>
            </w:r>
          </w:p>
        </w:tc>
        <w:tc>
          <w:tcPr>
            <w:tcW w:w="66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80" w:lineRule="exact"/>
              <w:jc w:val="left"/>
              <w:rPr>
                <w:rFonts w:ascii="宋体" w:hAnsi="宋体" w:cs="宋体"/>
                <w:szCs w:val="21"/>
              </w:rPr>
            </w:pPr>
            <w:r>
              <w:rPr>
                <w:rFonts w:hint="eastAsia" w:ascii="宋体" w:hAnsi="宋体" w:cs="宋体"/>
                <w:szCs w:val="21"/>
              </w:rPr>
              <w:t>□是</w:t>
            </w:r>
          </w:p>
          <w:p>
            <w:pPr>
              <w:autoSpaceDE w:val="0"/>
              <w:autoSpaceDN w:val="0"/>
              <w:adjustRightInd w:val="0"/>
              <w:spacing w:line="480" w:lineRule="exact"/>
              <w:jc w:val="left"/>
              <w:rPr>
                <w:rFonts w:ascii="宋体" w:hAnsi="宋体" w:cs="宋体"/>
                <w:color w:val="000000"/>
                <w:szCs w:val="21"/>
              </w:rPr>
            </w:pPr>
            <w:r>
              <w:rPr>
                <w:rFonts w:hint="eastAsia" w:ascii="宋体" w:hAnsi="宋体" w:cs="宋体"/>
                <w:szCs w:val="21"/>
              </w:rPr>
              <w:t xml:space="preserve">■否 </w:t>
            </w:r>
            <w:r>
              <w:rPr>
                <w:rFonts w:hint="eastAsia" w:ascii="宋体" w:hAnsi="宋体" w:cs="宋体"/>
                <w:color w:val="000000"/>
                <w:szCs w:val="21"/>
              </w:rPr>
              <w:t>推荐成交候选供应商1-3名并标明排列顺序。</w:t>
            </w:r>
          </w:p>
          <w:p>
            <w:pPr>
              <w:autoSpaceDE w:val="0"/>
              <w:autoSpaceDN w:val="0"/>
              <w:adjustRightInd w:val="0"/>
              <w:spacing w:line="480" w:lineRule="exact"/>
              <w:ind w:firstLine="420" w:firstLineChars="200"/>
              <w:jc w:val="left"/>
              <w:rPr>
                <w:rFonts w:ascii="宋体" w:hAnsi="宋体" w:cs="宋体"/>
                <w:szCs w:val="21"/>
              </w:rPr>
            </w:pPr>
            <w:r>
              <w:rPr>
                <w:rFonts w:hint="eastAsia" w:ascii="宋体" w:hAnsi="宋体" w:cs="宋体"/>
                <w:color w:val="000000"/>
                <w:kern w:val="0"/>
                <w:szCs w:val="21"/>
              </w:rPr>
              <w:t>采购单位</w:t>
            </w:r>
            <w:r>
              <w:rPr>
                <w:rFonts w:hint="eastAsia" w:ascii="宋体" w:hAnsi="宋体" w:cs="宋体"/>
                <w:color w:val="000000"/>
                <w:szCs w:val="21"/>
              </w:rPr>
              <w:t>应当确定排名第一的成交候选供应商为最终成交人。排名第一的成交候选供应商放弃中标、因不可抗力不能履行合同，或者被查实存在影响成交结果的违法行为等情形，不符合成交条件的，</w:t>
            </w:r>
            <w:r>
              <w:rPr>
                <w:rFonts w:hint="eastAsia" w:ascii="宋体" w:hAnsi="宋体" w:cs="宋体"/>
                <w:color w:val="000000"/>
                <w:kern w:val="0"/>
                <w:szCs w:val="21"/>
              </w:rPr>
              <w:t>采购单位</w:t>
            </w:r>
            <w:r>
              <w:rPr>
                <w:rFonts w:hint="eastAsia" w:ascii="宋体" w:hAnsi="宋体" w:cs="宋体"/>
                <w:color w:val="000000"/>
                <w:szCs w:val="21"/>
              </w:rPr>
              <w:t>可以按照评审小组提出的成交候选供应商名单排序依次确定其他成交候选人为成交人，也可以重新采购。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szCs w:val="21"/>
                <w:lang w:eastAsia="zh-CN"/>
              </w:rPr>
            </w:pPr>
            <w:r>
              <w:rPr>
                <w:rFonts w:hint="eastAsia" w:ascii="宋体" w:hAnsi="宋体" w:cs="宋体"/>
                <w:szCs w:val="21"/>
              </w:rPr>
              <w:t>竞争性磋商文件</w:t>
            </w:r>
            <w:r>
              <w:rPr>
                <w:rFonts w:hint="eastAsia" w:ascii="宋体" w:hAnsi="宋体" w:cs="宋体"/>
                <w:szCs w:val="21"/>
                <w:lang w:eastAsia="zh-CN"/>
              </w:rPr>
              <w:t>下载</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ascii="宋体" w:hAnsi="宋体" w:cs="宋体"/>
                <w:szCs w:val="21"/>
              </w:rPr>
              <w:t>时间：</w:t>
            </w:r>
            <w:r>
              <w:rPr>
                <w:rFonts w:hint="eastAsia" w:ascii="宋体" w:hAnsi="宋体" w:cs="宋体"/>
                <w:szCs w:val="21"/>
                <w:u w:val="single"/>
              </w:rPr>
              <w:t xml:space="preserve"> 2019 </w:t>
            </w:r>
            <w:r>
              <w:rPr>
                <w:rFonts w:hint="eastAsia" w:ascii="宋体" w:hAnsi="宋体" w:cs="宋体"/>
                <w:szCs w:val="21"/>
              </w:rPr>
              <w:t>年</w:t>
            </w:r>
            <w:r>
              <w:rPr>
                <w:rFonts w:hint="eastAsia" w:ascii="宋体" w:hAnsi="宋体" w:cs="宋体"/>
                <w:szCs w:val="21"/>
                <w:u w:val="single"/>
                <w:lang w:val="en-US" w:eastAsia="zh-CN"/>
              </w:rPr>
              <w:t>11</w:t>
            </w:r>
            <w:r>
              <w:rPr>
                <w:rFonts w:hint="eastAsia" w:ascii="宋体" w:hAnsi="宋体" w:cs="宋体"/>
                <w:szCs w:val="21"/>
              </w:rPr>
              <w:t>月</w:t>
            </w:r>
            <w:r>
              <w:rPr>
                <w:rFonts w:hint="eastAsia" w:ascii="宋体" w:hAnsi="宋体" w:cs="宋体"/>
                <w:szCs w:val="21"/>
                <w:u w:val="single"/>
                <w:lang w:val="en-US" w:eastAsia="zh-CN"/>
              </w:rPr>
              <w:t>20</w:t>
            </w:r>
            <w:r>
              <w:rPr>
                <w:rFonts w:hint="eastAsia" w:ascii="宋体" w:hAnsi="宋体" w:cs="宋体"/>
                <w:szCs w:val="21"/>
              </w:rPr>
              <w:t>日</w:t>
            </w:r>
            <w:r>
              <w:rPr>
                <w:rFonts w:hint="eastAsia" w:ascii="宋体" w:hAnsi="宋体" w:cs="宋体"/>
                <w:szCs w:val="21"/>
                <w:u w:val="single"/>
              </w:rPr>
              <w:t xml:space="preserve"> 00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分至</w:t>
            </w:r>
            <w:r>
              <w:rPr>
                <w:rFonts w:hint="eastAsia" w:ascii="宋体" w:hAnsi="宋体" w:cs="宋体"/>
                <w:szCs w:val="21"/>
                <w:u w:val="single"/>
                <w:lang w:val="en-US" w:eastAsia="zh-CN"/>
              </w:rPr>
              <w:t>2019</w:t>
            </w:r>
            <w:r>
              <w:rPr>
                <w:rFonts w:hint="eastAsia" w:ascii="宋体" w:hAnsi="宋体" w:cs="宋体"/>
                <w:szCs w:val="21"/>
              </w:rPr>
              <w:t>年</w:t>
            </w:r>
            <w:r>
              <w:rPr>
                <w:rFonts w:hint="eastAsia" w:ascii="宋体" w:hAnsi="宋体" w:cs="宋体"/>
                <w:szCs w:val="21"/>
                <w:u w:val="single"/>
                <w:lang w:val="en-US" w:eastAsia="zh-CN"/>
              </w:rPr>
              <w:t>11</w:t>
            </w:r>
            <w:r>
              <w:rPr>
                <w:rFonts w:hint="eastAsia" w:ascii="宋体" w:hAnsi="宋体" w:cs="宋体"/>
                <w:szCs w:val="21"/>
              </w:rPr>
              <w:t>月</w:t>
            </w:r>
            <w:r>
              <w:rPr>
                <w:rFonts w:hint="eastAsia" w:ascii="宋体" w:hAnsi="宋体" w:cs="宋体"/>
                <w:szCs w:val="21"/>
                <w:u w:val="single"/>
                <w:lang w:val="en-US" w:eastAsia="zh-CN"/>
              </w:rPr>
              <w:t>26</w:t>
            </w:r>
            <w:r>
              <w:rPr>
                <w:rFonts w:hint="eastAsia" w:ascii="宋体" w:hAnsi="宋体" w:cs="宋体"/>
                <w:szCs w:val="21"/>
              </w:rPr>
              <w:t>日23时59分。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19</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递交响应性文件地点</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ascii="宋体" w:hAnsi="宋体" w:cs="宋体"/>
                <w:szCs w:val="21"/>
              </w:rPr>
              <w:t>平顶山市公共资源交易中心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20</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bCs/>
                <w:szCs w:val="21"/>
              </w:rPr>
            </w:pPr>
            <w:r>
              <w:rPr>
                <w:rFonts w:hint="eastAsia" w:ascii="宋体" w:hAnsi="宋体" w:cs="宋体"/>
                <w:b/>
                <w:bCs/>
                <w:szCs w:val="21"/>
              </w:rPr>
              <w:t>响应性文件递交截止时间</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bCs/>
                <w:szCs w:val="21"/>
              </w:rPr>
            </w:pPr>
            <w:r>
              <w:rPr>
                <w:rFonts w:hint="eastAsia" w:ascii="宋体" w:hAnsi="宋体" w:cs="宋体"/>
                <w:b/>
                <w:bCs/>
                <w:szCs w:val="21"/>
                <w:u w:val="single"/>
              </w:rPr>
              <w:t xml:space="preserve"> 2019 </w:t>
            </w:r>
            <w:r>
              <w:rPr>
                <w:rFonts w:hint="eastAsia" w:ascii="宋体" w:hAnsi="宋体" w:cs="宋体"/>
                <w:b/>
                <w:bCs/>
                <w:szCs w:val="21"/>
              </w:rPr>
              <w:t>年</w:t>
            </w:r>
            <w:r>
              <w:rPr>
                <w:rFonts w:hint="eastAsia" w:ascii="宋体" w:hAnsi="宋体" w:cs="宋体"/>
                <w:b/>
                <w:bCs/>
                <w:szCs w:val="21"/>
                <w:u w:val="single"/>
                <w:lang w:val="en-US" w:eastAsia="zh-CN"/>
              </w:rPr>
              <w:t>12</w:t>
            </w:r>
            <w:r>
              <w:rPr>
                <w:rFonts w:hint="eastAsia" w:ascii="宋体" w:hAnsi="宋体" w:cs="宋体"/>
                <w:b/>
                <w:bCs/>
                <w:szCs w:val="21"/>
              </w:rPr>
              <w:t>月</w:t>
            </w:r>
            <w:r>
              <w:rPr>
                <w:rFonts w:hint="eastAsia" w:ascii="宋体" w:hAnsi="宋体" w:cs="宋体"/>
                <w:b/>
                <w:bCs/>
                <w:szCs w:val="21"/>
                <w:u w:val="single"/>
                <w:lang w:val="en-US" w:eastAsia="zh-CN"/>
              </w:rPr>
              <w:t>2</w:t>
            </w:r>
            <w:r>
              <w:rPr>
                <w:rFonts w:hint="eastAsia" w:ascii="宋体" w:hAnsi="宋体" w:cs="宋体"/>
                <w:b/>
                <w:bCs/>
                <w:szCs w:val="21"/>
              </w:rPr>
              <w:t>日</w:t>
            </w:r>
            <w:r>
              <w:rPr>
                <w:rFonts w:hint="eastAsia" w:ascii="宋体" w:hAnsi="宋体" w:cs="宋体"/>
                <w:b/>
                <w:bCs/>
                <w:szCs w:val="21"/>
                <w:u w:val="single"/>
                <w:lang w:val="en-US" w:eastAsia="zh-CN"/>
              </w:rPr>
              <w:t>10</w:t>
            </w:r>
            <w:r>
              <w:rPr>
                <w:rFonts w:hint="eastAsia" w:ascii="宋体" w:hAnsi="宋体" w:cs="宋体"/>
                <w:b/>
                <w:bCs/>
                <w:szCs w:val="21"/>
              </w:rPr>
              <w:t>点</w:t>
            </w:r>
            <w:r>
              <w:rPr>
                <w:rFonts w:hint="eastAsia" w:ascii="宋体" w:hAnsi="宋体" w:cs="宋体"/>
                <w:b/>
                <w:bCs/>
                <w:szCs w:val="21"/>
                <w:u w:val="single"/>
                <w:lang w:val="en-US" w:eastAsia="zh-CN"/>
              </w:rPr>
              <w:t>30</w:t>
            </w:r>
            <w:r>
              <w:rPr>
                <w:rFonts w:hint="eastAsia" w:ascii="宋体" w:hAnsi="宋体" w:cs="宋体"/>
                <w:b/>
                <w:bCs/>
                <w:szCs w:val="21"/>
                <w:u w:val="none"/>
                <w:lang w:val="en-US" w:eastAsia="zh-CN"/>
              </w:rPr>
              <w:t>分</w:t>
            </w:r>
            <w:r>
              <w:rPr>
                <w:rFonts w:hint="eastAsia" w:ascii="宋体" w:hAnsi="宋体" w:cs="宋体"/>
                <w:b/>
                <w:bCs/>
                <w:szCs w:val="21"/>
              </w:rPr>
              <w:t>（北京时间）逾期提交或所提交响应性文件不符合竞争性磋商文件相关规定将不被接受。</w:t>
            </w:r>
            <w:bookmarkStart w:id="555" w:name="_GoBack"/>
            <w:bookmarkEnd w:id="5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bCs/>
                <w:szCs w:val="21"/>
              </w:rPr>
              <w:t>踏勘现场</w:t>
            </w:r>
          </w:p>
        </w:tc>
        <w:tc>
          <w:tcPr>
            <w:tcW w:w="66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供应商自行踏勘现场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代理服务费</w:t>
            </w:r>
          </w:p>
        </w:tc>
        <w:tc>
          <w:tcPr>
            <w:tcW w:w="6667"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cs="宋体"/>
                <w:szCs w:val="21"/>
              </w:rPr>
            </w:pPr>
            <w:r>
              <w:rPr>
                <w:rFonts w:hint="eastAsia" w:ascii="宋体" w:hAnsi="宋体" w:cs="宋体"/>
                <w:szCs w:val="21"/>
              </w:rPr>
              <w:t>本项目服务费由成交单位支付，收费标准按照原</w:t>
            </w:r>
            <w:r>
              <w:rPr>
                <w:rFonts w:hint="eastAsia" w:ascii="宋体" w:hAnsi="宋体" w:cs="宋体"/>
                <w:szCs w:val="21"/>
                <w:lang w:val="zh-CN"/>
              </w:rPr>
              <w:t>《国家发展改革委员会办公厅关于招标代理服务收费有关</w:t>
            </w:r>
            <w:r>
              <w:rPr>
                <w:rFonts w:hint="eastAsia" w:ascii="宋体" w:hAnsi="宋体" w:cs="宋体"/>
                <w:szCs w:val="21"/>
              </w:rPr>
              <w:t xml:space="preserve"> </w:t>
            </w:r>
            <w:r>
              <w:rPr>
                <w:rFonts w:hint="eastAsia" w:ascii="宋体" w:hAnsi="宋体" w:cs="宋体"/>
                <w:szCs w:val="21"/>
                <w:lang w:val="zh-CN"/>
              </w:rPr>
              <w:t>问题的通知》（发改办价格[2003]857号）、《国家计委关于印发&lt;招标代理服务收费管理暂行办法&gt;通知》（计价格）[2002]1980号）和《</w:t>
            </w:r>
            <w:r>
              <w:rPr>
                <w:rFonts w:hint="eastAsia" w:ascii="宋体" w:hAnsi="宋体" w:cs="宋体"/>
                <w:szCs w:val="21"/>
              </w:rPr>
              <w:t>国</w:t>
            </w:r>
            <w:r>
              <w:rPr>
                <w:rFonts w:hint="eastAsia" w:ascii="宋体" w:hAnsi="宋体" w:cs="宋体"/>
                <w:szCs w:val="21"/>
                <w:lang w:val="zh-CN"/>
              </w:rPr>
              <w:t>家发展改革委关于降低部分建设项目收费标准规范收费行为等有关问题的通知》（发改价格【2011】534号）规定的《招标代理服务收费标准》有关工程招标规定向中标人全额收取</w:t>
            </w:r>
            <w:r>
              <w:rPr>
                <w:rFonts w:hint="eastAsia" w:ascii="宋体" w:hAnsi="宋体" w:cs="宋体"/>
                <w:szCs w:val="21"/>
              </w:rPr>
              <w:t>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23</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bCs/>
                <w:szCs w:val="21"/>
              </w:rPr>
            </w:pPr>
            <w:r>
              <w:rPr>
                <w:rFonts w:hint="eastAsia" w:ascii="宋体" w:hAnsi="宋体" w:cs="宋体"/>
                <w:b/>
                <w:bCs/>
                <w:szCs w:val="21"/>
              </w:rPr>
              <w:t>采购控制价（人民币）</w:t>
            </w:r>
          </w:p>
        </w:tc>
        <w:tc>
          <w:tcPr>
            <w:tcW w:w="666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bCs/>
                <w:szCs w:val="21"/>
                <w:highlight w:val="none"/>
                <w:lang w:val="zh-CN"/>
              </w:rPr>
            </w:pPr>
            <w:r>
              <w:rPr>
                <w:rFonts w:hint="eastAsia" w:ascii="宋体" w:hAnsi="宋体" w:cs="宋体"/>
                <w:b/>
                <w:bCs/>
                <w:szCs w:val="21"/>
                <w:highlight w:val="none"/>
              </w:rPr>
              <w:t>大写：</w:t>
            </w:r>
            <w:r>
              <w:rPr>
                <w:rFonts w:hint="eastAsia" w:ascii="宋体" w:hAnsi="宋体" w:cs="宋体"/>
                <w:b/>
                <w:bCs/>
                <w:szCs w:val="21"/>
                <w:highlight w:val="none"/>
                <w:lang w:val="zh-CN"/>
              </w:rPr>
              <w:t>壹佰零贰万叁仟壹佰伍拾壹元整</w:t>
            </w:r>
          </w:p>
          <w:p>
            <w:pPr>
              <w:spacing w:line="480" w:lineRule="exact"/>
              <w:rPr>
                <w:rFonts w:ascii="宋体" w:hAnsi="宋体" w:cs="宋体"/>
                <w:b/>
                <w:bCs/>
                <w:szCs w:val="21"/>
              </w:rPr>
            </w:pPr>
            <w:r>
              <w:rPr>
                <w:rFonts w:hint="eastAsia" w:ascii="宋体" w:hAnsi="宋体" w:cs="宋体"/>
                <w:b/>
                <w:bCs/>
                <w:szCs w:val="21"/>
                <w:highlight w:val="none"/>
              </w:rPr>
              <w:t>小写：102</w:t>
            </w:r>
            <w:r>
              <w:rPr>
                <w:rFonts w:hint="eastAsia" w:ascii="宋体" w:hAnsi="宋体" w:cs="宋体"/>
                <w:b/>
                <w:bCs/>
                <w:szCs w:val="21"/>
                <w:highlight w:val="none"/>
                <w:lang w:val="en-US" w:eastAsia="zh-CN"/>
              </w:rPr>
              <w:t>3151</w:t>
            </w:r>
            <w:r>
              <w:rPr>
                <w:rFonts w:hint="eastAsia" w:ascii="宋体" w:hAnsi="宋体" w:cs="宋体"/>
                <w:b/>
                <w:bCs/>
                <w:szCs w:val="21"/>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24</w:t>
            </w: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pStyle w:val="35"/>
              <w:spacing w:line="360" w:lineRule="auto"/>
              <w:ind w:firstLine="16" w:firstLineChars="8"/>
              <w:jc w:val="center"/>
              <w:rPr>
                <w:szCs w:val="21"/>
                <w:lang w:val="en-US" w:bidi="ar-SA"/>
              </w:rPr>
            </w:pPr>
            <w:r>
              <w:rPr>
                <w:rFonts w:hint="eastAsia"/>
                <w:szCs w:val="21"/>
                <w:lang w:val="en-US" w:bidi="ar-SA"/>
              </w:rPr>
              <w:t>其他</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2" w:firstLineChars="200"/>
              <w:jc w:val="left"/>
              <w:rPr>
                <w:rFonts w:ascii="宋体" w:hAnsi="宋体" w:cs="宋体"/>
                <w:bCs/>
                <w:color w:val="000000"/>
                <w:szCs w:val="21"/>
              </w:rPr>
            </w:pPr>
            <w:r>
              <w:rPr>
                <w:b/>
                <w:bCs/>
                <w:color w:val="000000"/>
              </w:rPr>
              <w:t>1.</w:t>
            </w:r>
            <w:r>
              <w:rPr>
                <w:rFonts w:hint="eastAsia"/>
                <w:b/>
                <w:bCs/>
                <w:color w:val="000000"/>
              </w:rPr>
              <w:t>供应商代表出席开标会议：供应商法定代表人携带本人身份证或授权代表携带法定代表人授权委托书、身份证及</w:t>
            </w:r>
            <w:r>
              <w:rPr>
                <w:b/>
                <w:bCs/>
                <w:color w:val="000000"/>
              </w:rPr>
              <w:t>CA</w:t>
            </w:r>
            <w:r>
              <w:rPr>
                <w:rFonts w:hint="eastAsia"/>
                <w:b/>
                <w:bCs/>
                <w:color w:val="000000"/>
              </w:rPr>
              <w:t>密钥、未加密的电子磋商响应文件参加磋商并签到。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2" w:firstLineChars="200"/>
              <w:jc w:val="left"/>
              <w:rPr>
                <w:rFonts w:ascii="宋体" w:hAnsi="宋体" w:cs="宋体"/>
                <w:bCs/>
                <w:color w:val="000000"/>
                <w:szCs w:val="21"/>
              </w:rPr>
            </w:pPr>
            <w:r>
              <w:rPr>
                <w:b/>
                <w:bCs/>
                <w:color w:val="000000"/>
              </w:rPr>
              <w:t>2.</w:t>
            </w:r>
            <w:r>
              <w:rPr>
                <w:rFonts w:hint="eastAsia"/>
                <w:b/>
                <w:bCs/>
                <w:color w:val="000000"/>
              </w:rPr>
              <w:t>企业投报的人员、业绩、证件等信息，除磋商文件规定需要提供原件外，均不再提供原件。以上信息以平顶山公共资源交易网企业信息库中登记的信息为准，未登记的，评审时不予认可</w:t>
            </w:r>
            <w:r>
              <w:rPr>
                <w:rFonts w:hint="eastAsia"/>
                <w:color w:val="000000"/>
              </w:rPr>
              <w:t>。</w:t>
            </w:r>
          </w:p>
        </w:tc>
      </w:tr>
    </w:tbl>
    <w:p/>
    <w:p/>
    <w:p>
      <w:pPr>
        <w:pStyle w:val="4"/>
        <w:spacing w:line="240" w:lineRule="auto"/>
        <w:jc w:val="both"/>
        <w:rPr>
          <w:rStyle w:val="36"/>
          <w:b/>
          <w:bCs w:val="0"/>
        </w:rPr>
      </w:pPr>
      <w:r>
        <w:rPr>
          <w:rStyle w:val="36"/>
          <w:b w:val="0"/>
          <w:bCs/>
        </w:rPr>
        <w:br w:type="page"/>
      </w:r>
      <w:bookmarkStart w:id="68" w:name="_Toc465325834"/>
      <w:bookmarkStart w:id="69" w:name="_Toc1325"/>
      <w:bookmarkStart w:id="70" w:name="_Toc30976"/>
      <w:bookmarkStart w:id="71" w:name="_Toc9231"/>
      <w:bookmarkStart w:id="72" w:name="_Toc25523"/>
      <w:bookmarkStart w:id="73" w:name="_Toc15005"/>
      <w:bookmarkStart w:id="74" w:name="_Toc18896"/>
      <w:bookmarkStart w:id="75" w:name="_Toc21022"/>
      <w:bookmarkStart w:id="76" w:name="_Toc772"/>
      <w:bookmarkStart w:id="77" w:name="_Toc2388"/>
      <w:bookmarkStart w:id="78" w:name="_Toc23254"/>
      <w:bookmarkStart w:id="79" w:name="_Toc1438"/>
      <w:bookmarkStart w:id="80" w:name="_Toc10697"/>
      <w:bookmarkStart w:id="81" w:name="_Toc25486"/>
      <w:bookmarkStart w:id="82" w:name="_Toc22096"/>
      <w:bookmarkStart w:id="83" w:name="_Toc22305"/>
      <w:bookmarkStart w:id="84" w:name="_Toc21113"/>
      <w:r>
        <w:rPr>
          <w:rStyle w:val="36"/>
          <w:b/>
          <w:bCs w:val="0"/>
        </w:rPr>
        <w:t xml:space="preserve">               </w:t>
      </w:r>
      <w:r>
        <w:rPr>
          <w:rStyle w:val="36"/>
          <w:rFonts w:hint="eastAsia"/>
          <w:b/>
          <w:bCs w:val="0"/>
        </w:rPr>
        <w:t>二、</w:t>
      </w:r>
      <w:bookmarkEnd w:id="68"/>
      <w:bookmarkEnd w:id="69"/>
      <w:bookmarkEnd w:id="70"/>
      <w:bookmarkEnd w:id="71"/>
      <w:bookmarkEnd w:id="72"/>
      <w:bookmarkEnd w:id="73"/>
      <w:bookmarkEnd w:id="74"/>
      <w:bookmarkEnd w:id="75"/>
      <w:bookmarkEnd w:id="76"/>
      <w:bookmarkEnd w:id="77"/>
      <w:bookmarkEnd w:id="78"/>
      <w:bookmarkStart w:id="85" w:name="_Toc460517772"/>
      <w:bookmarkStart w:id="86" w:name="_Toc418696222"/>
      <w:bookmarkStart w:id="87" w:name="_Toc460517729"/>
      <w:r>
        <w:rPr>
          <w:rStyle w:val="36"/>
          <w:rFonts w:hint="eastAsia"/>
          <w:b/>
          <w:bCs w:val="0"/>
        </w:rPr>
        <w:t>磋商须知</w:t>
      </w:r>
      <w:bookmarkEnd w:id="79"/>
      <w:bookmarkEnd w:id="80"/>
      <w:bookmarkEnd w:id="81"/>
      <w:bookmarkEnd w:id="82"/>
      <w:bookmarkEnd w:id="83"/>
      <w:bookmarkEnd w:id="84"/>
    </w:p>
    <w:p>
      <w:pPr>
        <w:pStyle w:val="5"/>
        <w:spacing w:line="240" w:lineRule="auto"/>
        <w:jc w:val="left"/>
        <w:rPr>
          <w:rFonts w:ascii="宋体" w:hAnsi="宋体"/>
          <w:color w:val="000000"/>
          <w:kern w:val="2"/>
          <w:sz w:val="24"/>
          <w:szCs w:val="24"/>
        </w:rPr>
      </w:pPr>
      <w:bookmarkStart w:id="88" w:name="_Toc465325835"/>
      <w:bookmarkStart w:id="89" w:name="_Toc7271"/>
      <w:bookmarkStart w:id="90" w:name="_Toc18021"/>
      <w:bookmarkStart w:id="91" w:name="_Toc16102"/>
      <w:bookmarkStart w:id="92" w:name="_Toc16088"/>
      <w:bookmarkStart w:id="93" w:name="_Toc5188"/>
      <w:bookmarkStart w:id="94" w:name="_Toc3557"/>
      <w:bookmarkStart w:id="95" w:name="_Toc5216"/>
      <w:bookmarkStart w:id="96" w:name="_Toc21818"/>
      <w:bookmarkStart w:id="97" w:name="_Toc5201"/>
      <w:bookmarkStart w:id="98" w:name="_Toc12513"/>
      <w:bookmarkStart w:id="99" w:name="_Toc12195"/>
      <w:bookmarkStart w:id="100" w:name="_Toc32015"/>
      <w:bookmarkStart w:id="101" w:name="_Toc31053"/>
      <w:bookmarkStart w:id="102" w:name="_Toc22132"/>
      <w:bookmarkStart w:id="103" w:name="_Toc3492"/>
      <w:bookmarkStart w:id="104" w:name="_Toc23346"/>
      <w:r>
        <w:rPr>
          <w:rFonts w:hint="eastAsia" w:ascii="宋体" w:hAnsi="宋体"/>
          <w:color w:val="000000"/>
          <w:kern w:val="2"/>
          <w:sz w:val="24"/>
          <w:szCs w:val="24"/>
        </w:rPr>
        <w:t>（一）总则</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numPr>
          <w:ilvl w:val="0"/>
          <w:numId w:val="1"/>
        </w:numPr>
        <w:spacing w:line="480" w:lineRule="exact"/>
        <w:ind w:left="0"/>
        <w:rPr>
          <w:rFonts w:ascii="宋体" w:hAnsi="宋体"/>
          <w:szCs w:val="21"/>
        </w:rPr>
      </w:pPr>
      <w:r>
        <w:rPr>
          <w:rFonts w:hint="eastAsia" w:ascii="宋体" w:hAnsi="宋体"/>
          <w:szCs w:val="21"/>
        </w:rPr>
        <w:t>适用范围</w:t>
      </w:r>
    </w:p>
    <w:p>
      <w:pPr>
        <w:spacing w:line="480" w:lineRule="exact"/>
        <w:ind w:left="-284"/>
        <w:rPr>
          <w:rFonts w:ascii="宋体" w:hAnsi="宋体"/>
          <w:szCs w:val="21"/>
        </w:rPr>
      </w:pPr>
      <w:r>
        <w:rPr>
          <w:rFonts w:hint="eastAsia" w:ascii="宋体" w:hAnsi="宋体"/>
          <w:szCs w:val="21"/>
        </w:rPr>
        <w:t>2.本磋商文件适用于</w:t>
      </w:r>
      <w:r>
        <w:rPr>
          <w:rFonts w:hint="eastAsia" w:ascii="宋体" w:hAnsi="宋体" w:cs="宋体"/>
          <w:szCs w:val="21"/>
        </w:rPr>
        <w:t>鲁山县城南新区（和平农贸市场）垃圾中转站项目</w:t>
      </w:r>
      <w:r>
        <w:rPr>
          <w:rFonts w:hint="eastAsia" w:ascii="宋体" w:hAnsi="宋体"/>
          <w:szCs w:val="21"/>
        </w:rPr>
        <w:t>。</w:t>
      </w:r>
    </w:p>
    <w:p>
      <w:pPr>
        <w:spacing w:line="480" w:lineRule="exact"/>
        <w:ind w:left="-284"/>
        <w:rPr>
          <w:rFonts w:ascii="宋体" w:hAnsi="宋体"/>
          <w:szCs w:val="21"/>
        </w:rPr>
      </w:pPr>
      <w:r>
        <w:rPr>
          <w:rFonts w:hint="eastAsia" w:ascii="宋体" w:hAnsi="宋体"/>
          <w:szCs w:val="21"/>
        </w:rPr>
        <w:t>3.定义</w:t>
      </w:r>
    </w:p>
    <w:p>
      <w:pPr>
        <w:spacing w:line="480" w:lineRule="exact"/>
        <w:rPr>
          <w:rFonts w:ascii="宋体" w:hAnsi="宋体"/>
          <w:szCs w:val="21"/>
        </w:rPr>
      </w:pPr>
      <w:r>
        <w:rPr>
          <w:rFonts w:hint="eastAsia" w:ascii="宋体" w:hAnsi="宋体"/>
          <w:szCs w:val="21"/>
        </w:rPr>
        <w:t>3.1采购人：前附表所述，依法进行政府采购的国家机关、事业单位、团体组织。</w:t>
      </w:r>
    </w:p>
    <w:p>
      <w:pPr>
        <w:spacing w:line="480" w:lineRule="exact"/>
        <w:rPr>
          <w:rFonts w:ascii="宋体" w:hAnsi="宋体"/>
          <w:szCs w:val="21"/>
        </w:rPr>
      </w:pPr>
      <w:r>
        <w:rPr>
          <w:rFonts w:hint="eastAsia" w:ascii="宋体" w:hAnsi="宋体"/>
          <w:szCs w:val="21"/>
        </w:rPr>
        <w:t>3.2采购代理机构：依法受采购人委托代理组织政府采购活动的执行机构（河南英典工程管理有限公司）。</w:t>
      </w:r>
    </w:p>
    <w:p>
      <w:pPr>
        <w:spacing w:line="374" w:lineRule="auto"/>
        <w:rPr>
          <w:rFonts w:ascii="宋体" w:hAnsi="宋体" w:cs="宋体"/>
          <w:color w:val="000000"/>
          <w:szCs w:val="21"/>
        </w:rPr>
      </w:pPr>
      <w:r>
        <w:rPr>
          <w:rFonts w:hint="eastAsia" w:ascii="宋体" w:hAnsi="宋体" w:cs="宋体"/>
          <w:color w:val="000000"/>
          <w:szCs w:val="21"/>
        </w:rPr>
        <w:t>3.3</w:t>
      </w:r>
      <w:r>
        <w:rPr>
          <w:rFonts w:hint="eastAsia" w:ascii="宋体" w:hAnsi="宋体"/>
          <w:szCs w:val="21"/>
        </w:rPr>
        <w:t>合格供应商：应符合“磋商须知前附表” 第</w:t>
      </w:r>
      <w:r>
        <w:rPr>
          <w:rFonts w:hint="eastAsia" w:ascii="宋体" w:hAnsi="宋体"/>
          <w:szCs w:val="21"/>
          <w:lang w:val="en-US" w:eastAsia="zh-CN"/>
        </w:rPr>
        <w:t>10</w:t>
      </w:r>
      <w:r>
        <w:rPr>
          <w:rFonts w:hint="eastAsia" w:ascii="宋体" w:hAnsi="宋体"/>
          <w:szCs w:val="21"/>
        </w:rPr>
        <w:t>条。</w:t>
      </w:r>
    </w:p>
    <w:p>
      <w:pPr>
        <w:spacing w:line="374" w:lineRule="auto"/>
        <w:rPr>
          <w:rFonts w:ascii="宋体" w:hAnsi="宋体" w:cs="宋体"/>
          <w:color w:val="000000"/>
          <w:szCs w:val="21"/>
        </w:rPr>
      </w:pPr>
      <w:r>
        <w:rPr>
          <w:rFonts w:hint="eastAsia" w:ascii="宋体" w:hAnsi="宋体"/>
          <w:szCs w:val="21"/>
        </w:rPr>
        <w:t>4.磋商费用</w:t>
      </w:r>
    </w:p>
    <w:p>
      <w:pPr>
        <w:spacing w:line="480" w:lineRule="exact"/>
        <w:ind w:firstLine="210" w:firstLineChars="100"/>
        <w:jc w:val="left"/>
        <w:rPr>
          <w:rFonts w:ascii="宋体" w:hAnsi="宋体"/>
          <w:szCs w:val="21"/>
        </w:rPr>
      </w:pPr>
      <w:r>
        <w:rPr>
          <w:rFonts w:hint="eastAsia" w:ascii="宋体" w:hAnsi="宋体"/>
          <w:szCs w:val="21"/>
        </w:rPr>
        <w:t>4.1无论磋商过程中作法和结果如何，供应商应承担其参加本磋商活动自身所发生的所有费用。</w:t>
      </w:r>
    </w:p>
    <w:p>
      <w:pPr>
        <w:pStyle w:val="5"/>
        <w:spacing w:before="0" w:after="0" w:line="480" w:lineRule="exact"/>
        <w:rPr>
          <w:rStyle w:val="22"/>
          <w:b w:val="0"/>
          <w:bCs w:val="0"/>
        </w:rPr>
      </w:pPr>
      <w:bookmarkStart w:id="105" w:name="_Toc9100"/>
      <w:bookmarkStart w:id="106" w:name="_Toc465325836"/>
      <w:bookmarkStart w:id="107" w:name="_Toc3706"/>
      <w:bookmarkStart w:id="108" w:name="_Toc460517773"/>
      <w:bookmarkStart w:id="109" w:name="_Toc2599"/>
      <w:bookmarkStart w:id="110" w:name="_Toc460517730"/>
      <w:bookmarkStart w:id="111" w:name="_Toc29965"/>
      <w:bookmarkStart w:id="112" w:name="_Toc13654"/>
      <w:bookmarkStart w:id="113" w:name="_Toc23862"/>
      <w:bookmarkStart w:id="114" w:name="_Toc19219"/>
      <w:bookmarkStart w:id="115" w:name="_Toc418696223"/>
      <w:bookmarkStart w:id="116" w:name="_Toc1233"/>
      <w:bookmarkStart w:id="117" w:name="_Toc29024"/>
      <w:bookmarkStart w:id="118" w:name="_Toc16778"/>
      <w:bookmarkStart w:id="119" w:name="_Toc27212"/>
      <w:bookmarkStart w:id="120" w:name="_Toc32640"/>
      <w:bookmarkStart w:id="121" w:name="_Toc30730"/>
      <w:bookmarkStart w:id="122" w:name="_Toc28125"/>
      <w:bookmarkStart w:id="123" w:name="_Toc20512"/>
      <w:bookmarkStart w:id="124" w:name="_Toc16734"/>
      <w:r>
        <w:rPr>
          <w:rStyle w:val="22"/>
          <w:rFonts w:hint="eastAsia"/>
          <w:b w:val="0"/>
          <w:bCs w:val="0"/>
        </w:rPr>
        <w:t>（二）</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22"/>
          <w:rFonts w:hint="eastAsia"/>
          <w:b w:val="0"/>
          <w:bCs w:val="0"/>
        </w:rPr>
        <w:t>竞争性磋商文件</w:t>
      </w:r>
      <w:bookmarkEnd w:id="119"/>
      <w:bookmarkEnd w:id="120"/>
      <w:bookmarkEnd w:id="121"/>
      <w:bookmarkEnd w:id="122"/>
      <w:bookmarkEnd w:id="123"/>
      <w:bookmarkEnd w:id="124"/>
    </w:p>
    <w:p>
      <w:pPr>
        <w:spacing w:line="480" w:lineRule="exact"/>
        <w:rPr>
          <w:rFonts w:ascii="宋体" w:hAnsi="宋体"/>
          <w:szCs w:val="21"/>
        </w:rPr>
      </w:pPr>
      <w:r>
        <w:rPr>
          <w:rFonts w:hint="eastAsia" w:ascii="宋体" w:hAnsi="宋体"/>
          <w:szCs w:val="21"/>
        </w:rPr>
        <w:t>5.竞争性磋商文件的组成</w:t>
      </w:r>
    </w:p>
    <w:p>
      <w:pPr>
        <w:spacing w:line="360" w:lineRule="auto"/>
        <w:ind w:firstLine="210" w:firstLineChars="100"/>
        <w:rPr>
          <w:rFonts w:ascii="宋体" w:hAnsi="宋体"/>
          <w:szCs w:val="21"/>
        </w:rPr>
      </w:pPr>
      <w:r>
        <w:rPr>
          <w:rFonts w:hint="eastAsia" w:ascii="宋体" w:hAnsi="宋体"/>
          <w:szCs w:val="21"/>
        </w:rPr>
        <w:t>5.1竞争性磋商文件包括下列内容：</w:t>
      </w:r>
    </w:p>
    <w:p>
      <w:pPr>
        <w:numPr>
          <w:ilvl w:val="5"/>
          <w:numId w:val="2"/>
        </w:numPr>
        <w:tabs>
          <w:tab w:val="left" w:pos="843"/>
          <w:tab w:val="left" w:pos="1442"/>
        </w:tabs>
        <w:spacing w:line="360" w:lineRule="auto"/>
        <w:ind w:left="0" w:firstLine="315" w:firstLineChars="150"/>
        <w:rPr>
          <w:rFonts w:ascii="宋体" w:hAnsi="宋体"/>
          <w:szCs w:val="21"/>
        </w:rPr>
      </w:pPr>
      <w:r>
        <w:rPr>
          <w:rFonts w:hint="eastAsia" w:ascii="宋体" w:hAnsi="宋体"/>
          <w:szCs w:val="21"/>
        </w:rPr>
        <w:t>竞争性磋商公告</w:t>
      </w:r>
    </w:p>
    <w:p>
      <w:pPr>
        <w:numPr>
          <w:ilvl w:val="5"/>
          <w:numId w:val="2"/>
        </w:numPr>
        <w:tabs>
          <w:tab w:val="left" w:pos="1442"/>
        </w:tabs>
        <w:spacing w:line="360" w:lineRule="auto"/>
        <w:ind w:left="0" w:firstLine="315" w:firstLineChars="150"/>
        <w:rPr>
          <w:rFonts w:ascii="宋体" w:hAnsi="宋体"/>
          <w:szCs w:val="21"/>
        </w:rPr>
      </w:pPr>
      <w:r>
        <w:rPr>
          <w:rFonts w:hint="eastAsia" w:ascii="宋体" w:hAnsi="宋体"/>
          <w:szCs w:val="21"/>
        </w:rPr>
        <w:t>磋商须知</w:t>
      </w:r>
    </w:p>
    <w:p>
      <w:pPr>
        <w:numPr>
          <w:ilvl w:val="5"/>
          <w:numId w:val="2"/>
        </w:numPr>
        <w:tabs>
          <w:tab w:val="left" w:pos="1442"/>
        </w:tabs>
        <w:spacing w:line="360" w:lineRule="auto"/>
        <w:ind w:left="0" w:firstLine="315" w:firstLineChars="150"/>
        <w:rPr>
          <w:rFonts w:ascii="宋体" w:hAnsi="宋体"/>
          <w:szCs w:val="21"/>
        </w:rPr>
      </w:pPr>
      <w:r>
        <w:rPr>
          <w:rFonts w:hint="eastAsia" w:ascii="宋体" w:hAnsi="宋体"/>
          <w:szCs w:val="21"/>
        </w:rPr>
        <w:t>评审办法</w:t>
      </w:r>
    </w:p>
    <w:p>
      <w:pPr>
        <w:numPr>
          <w:ilvl w:val="5"/>
          <w:numId w:val="2"/>
        </w:numPr>
        <w:tabs>
          <w:tab w:val="left" w:pos="1442"/>
        </w:tabs>
        <w:spacing w:line="360" w:lineRule="auto"/>
        <w:ind w:left="0" w:firstLine="315" w:firstLineChars="150"/>
        <w:rPr>
          <w:rFonts w:ascii="宋体" w:hAnsi="宋体"/>
          <w:szCs w:val="21"/>
        </w:rPr>
      </w:pPr>
      <w:r>
        <w:rPr>
          <w:rFonts w:hint="eastAsia" w:ascii="宋体" w:hAnsi="宋体"/>
          <w:szCs w:val="21"/>
        </w:rPr>
        <w:t>图纸及工程量清单</w:t>
      </w:r>
    </w:p>
    <w:p>
      <w:pPr>
        <w:numPr>
          <w:ilvl w:val="5"/>
          <w:numId w:val="2"/>
        </w:numPr>
        <w:tabs>
          <w:tab w:val="left" w:pos="1442"/>
        </w:tabs>
        <w:spacing w:line="360" w:lineRule="auto"/>
        <w:ind w:left="0" w:firstLine="315" w:firstLineChars="150"/>
        <w:rPr>
          <w:rFonts w:ascii="宋体" w:hAnsi="宋体"/>
          <w:szCs w:val="21"/>
        </w:rPr>
      </w:pPr>
      <w:r>
        <w:rPr>
          <w:rFonts w:hint="eastAsia" w:ascii="宋体" w:hAnsi="宋体"/>
          <w:szCs w:val="21"/>
        </w:rPr>
        <w:t>合同条款及格式</w:t>
      </w:r>
    </w:p>
    <w:p>
      <w:pPr>
        <w:numPr>
          <w:ilvl w:val="5"/>
          <w:numId w:val="2"/>
        </w:numPr>
        <w:tabs>
          <w:tab w:val="left" w:pos="1442"/>
        </w:tabs>
        <w:spacing w:line="360" w:lineRule="auto"/>
        <w:ind w:left="0" w:firstLine="315" w:firstLineChars="150"/>
        <w:rPr>
          <w:rFonts w:ascii="宋体" w:hAnsi="宋体"/>
          <w:szCs w:val="21"/>
        </w:rPr>
      </w:pPr>
      <w:r>
        <w:rPr>
          <w:rFonts w:hint="eastAsia" w:ascii="宋体" w:hAnsi="宋体"/>
          <w:szCs w:val="21"/>
        </w:rPr>
        <w:t>响应性文件格式</w:t>
      </w:r>
    </w:p>
    <w:p>
      <w:pPr>
        <w:spacing w:line="480" w:lineRule="exact"/>
        <w:ind w:firstLine="420" w:firstLineChars="200"/>
        <w:rPr>
          <w:rFonts w:ascii="宋体" w:hAnsi="宋体"/>
          <w:szCs w:val="21"/>
        </w:rPr>
      </w:pPr>
      <w:r>
        <w:rPr>
          <w:rFonts w:hint="eastAsia" w:ascii="宋体" w:hAnsi="宋体"/>
          <w:szCs w:val="21"/>
        </w:rPr>
        <w:t>5.2 除5.1内容外，采购单位在提交响应性文件截止时间前，在电子交易系统中发出的对竞争性磋商文件的澄清或修改内容，均为竞争性磋商文件的组成部分，对采购单位和供应商起约束作用。</w:t>
      </w:r>
    </w:p>
    <w:p>
      <w:pPr>
        <w:spacing w:line="480" w:lineRule="exact"/>
        <w:ind w:firstLine="420" w:firstLineChars="200"/>
        <w:rPr>
          <w:rFonts w:ascii="宋体" w:hAnsi="宋体"/>
          <w:szCs w:val="21"/>
        </w:rPr>
      </w:pPr>
      <w:r>
        <w:rPr>
          <w:rFonts w:hint="eastAsia" w:ascii="宋体" w:hAnsi="宋体"/>
          <w:szCs w:val="21"/>
        </w:rPr>
        <w:t>5.3供应商获取竞争性磋商文件后，应仔细检查竞争性磋商文件的所有内容，如有残缺等问题应在</w:t>
      </w:r>
      <w:r>
        <w:rPr>
          <w:rFonts w:hint="eastAsia" w:ascii="宋体" w:hAnsi="宋体" w:cs="宋体"/>
          <w:kern w:val="0"/>
          <w:szCs w:val="21"/>
        </w:rPr>
        <w:t>递交</w:t>
      </w:r>
      <w:r>
        <w:rPr>
          <w:rFonts w:hint="eastAsia"/>
        </w:rPr>
        <w:t>响应文件截止之日</w:t>
      </w:r>
      <w:r>
        <w:rPr>
          <w:rFonts w:hint="eastAsia" w:ascii="宋体" w:hAnsi="宋体" w:cs="宋体"/>
          <w:kern w:val="0"/>
          <w:szCs w:val="21"/>
        </w:rPr>
        <w:t>五日前</w:t>
      </w:r>
      <w:r>
        <w:rPr>
          <w:rFonts w:hint="eastAsia" w:ascii="宋体" w:hAnsi="宋体"/>
          <w:szCs w:val="21"/>
        </w:rPr>
        <w:t>向采购人或采购代理机构提出，否则，由此引起的损失由供应商自己承担。供应商同时应认真审阅竞争性磋商文件中所有的事项、格式、条款和规范要求等，若供应商的响应性文件没有按竞争性磋商文件要求提交全部资料，或响应性文件没有对竞争性磋商文件做出实质性响应，其风险由供应商自行承担，并根据有关条款规定，该磋商响应文件有可能被拒绝。</w:t>
      </w:r>
    </w:p>
    <w:p>
      <w:pPr>
        <w:spacing w:line="480" w:lineRule="exact"/>
        <w:ind w:left="284"/>
        <w:rPr>
          <w:rFonts w:ascii="宋体" w:hAnsi="宋体"/>
          <w:szCs w:val="21"/>
        </w:rPr>
      </w:pPr>
      <w:r>
        <w:rPr>
          <w:rFonts w:hint="eastAsia" w:ascii="宋体" w:hAnsi="宋体"/>
          <w:szCs w:val="21"/>
        </w:rPr>
        <w:t>6.竞争性磋商文件的澄清</w:t>
      </w:r>
    </w:p>
    <w:p>
      <w:pPr>
        <w:spacing w:line="480" w:lineRule="exact"/>
        <w:ind w:firstLine="420" w:firstLineChars="200"/>
        <w:rPr>
          <w:rFonts w:ascii="宋体" w:hAnsi="宋体" w:cs="宋体"/>
          <w:kern w:val="0"/>
          <w:szCs w:val="21"/>
        </w:rPr>
      </w:pPr>
      <w:r>
        <w:rPr>
          <w:rFonts w:hint="eastAsia" w:ascii="宋体" w:hAnsi="宋体"/>
          <w:szCs w:val="21"/>
        </w:rPr>
        <w:t>6.1供应商若对竞争性磋商文件有任何疑问，应于递交响应文件截止之日五日前</w:t>
      </w:r>
      <w:r>
        <w:rPr>
          <w:rFonts w:hint="eastAsia" w:ascii="宋体" w:hAnsi="宋体" w:cs="宋体"/>
          <w:kern w:val="0"/>
          <w:szCs w:val="21"/>
        </w:rPr>
        <w:t>将需要答疑的问题电子交易系统中提出，要求采购人对竞争性磋商文件予以澄清。</w:t>
      </w:r>
    </w:p>
    <w:p>
      <w:pPr>
        <w:spacing w:line="480" w:lineRule="exact"/>
        <w:ind w:firstLine="420" w:firstLineChars="200"/>
        <w:rPr>
          <w:rFonts w:ascii="宋体" w:hAnsi="宋体"/>
          <w:szCs w:val="21"/>
        </w:rPr>
      </w:pPr>
      <w:r>
        <w:rPr>
          <w:rFonts w:hint="eastAsia" w:ascii="宋体" w:hAnsi="宋体"/>
          <w:szCs w:val="21"/>
        </w:rPr>
        <w:t>6.2竞争性磋商文件的澄清将在递交文件截止时间5日前在电子交易系统中以澄清形式公示给所有购买竞争性磋商文件的供应商，但不指明澄清问题的来源。如果澄清通知发出的时间距投标截止时间不足 5 天，投标截止时间应相应延长。</w:t>
      </w:r>
    </w:p>
    <w:p>
      <w:pPr>
        <w:spacing w:line="480" w:lineRule="exact"/>
        <w:rPr>
          <w:rFonts w:ascii="宋体" w:hAnsi="宋体"/>
          <w:szCs w:val="21"/>
        </w:rPr>
      </w:pPr>
      <w:r>
        <w:rPr>
          <w:rFonts w:hint="eastAsia" w:ascii="宋体" w:hAnsi="宋体"/>
          <w:szCs w:val="21"/>
        </w:rPr>
        <w:t>7.竞争性磋商文件的修改</w:t>
      </w:r>
    </w:p>
    <w:p>
      <w:pPr>
        <w:spacing w:line="480" w:lineRule="exact"/>
        <w:ind w:firstLine="420" w:firstLineChars="200"/>
        <w:rPr>
          <w:rFonts w:ascii="宋体" w:hAnsi="宋体"/>
          <w:szCs w:val="21"/>
        </w:rPr>
      </w:pPr>
      <w:r>
        <w:rPr>
          <w:rFonts w:hint="eastAsia" w:ascii="宋体" w:hAnsi="宋体"/>
          <w:szCs w:val="21"/>
        </w:rPr>
        <w:t>7.1竞争性磋商文件发出后，在提交响应性文件截止时间前，采购单位可对竞争性磋商文件进行必要的澄清或修改。</w:t>
      </w:r>
    </w:p>
    <w:p>
      <w:pPr>
        <w:spacing w:line="480" w:lineRule="exact"/>
        <w:ind w:firstLine="420" w:firstLineChars="200"/>
        <w:rPr>
          <w:rFonts w:ascii="宋体" w:hAnsi="宋体"/>
          <w:szCs w:val="21"/>
        </w:rPr>
      </w:pPr>
      <w:r>
        <w:rPr>
          <w:rFonts w:hint="eastAsia" w:ascii="宋体" w:hAnsi="宋体"/>
          <w:szCs w:val="21"/>
        </w:rPr>
        <w:t>7.2竞争性磋商文件的修改将在电子交易系统中以公示形式进行。竞争性磋商文件的修改内容作为竞争性磋商文件的组成部分，具有约束作用。</w:t>
      </w:r>
    </w:p>
    <w:p>
      <w:pPr>
        <w:spacing w:line="480" w:lineRule="exact"/>
        <w:ind w:firstLine="420" w:firstLineChars="200"/>
        <w:jc w:val="left"/>
        <w:rPr>
          <w:rFonts w:ascii="宋体" w:hAnsi="宋体"/>
          <w:szCs w:val="21"/>
        </w:rPr>
      </w:pPr>
      <w:r>
        <w:rPr>
          <w:rFonts w:hint="eastAsia" w:ascii="宋体" w:hAnsi="宋体"/>
          <w:szCs w:val="21"/>
        </w:rPr>
        <w:t>7.3竞争性磋商文件的澄清、修改、补充等内容均以电子交易系统中明确的内容为准。当竞争性磋商文件、竞争性磋商文件的澄清、修改、补充等在同一内容的表述不一致时，以最后在电子交易系中发出的文件为准。</w:t>
      </w:r>
    </w:p>
    <w:p>
      <w:pPr>
        <w:tabs>
          <w:tab w:val="left" w:pos="840"/>
        </w:tabs>
        <w:spacing w:line="480" w:lineRule="exact"/>
        <w:ind w:firstLine="420" w:firstLineChars="200"/>
        <w:rPr>
          <w:rFonts w:ascii="宋体" w:hAnsi="宋体"/>
          <w:szCs w:val="21"/>
        </w:rPr>
      </w:pPr>
      <w:r>
        <w:rPr>
          <w:rFonts w:hint="eastAsia" w:ascii="宋体" w:hAnsi="宋体"/>
          <w:szCs w:val="21"/>
        </w:rPr>
        <w:t>7.4为使供应商在编制响应性文件时有充分的时间对竞争性磋商文件的澄清、修改、补充等内容进行研究，采购单位将酌情延长提交响应性文件的截止时间，具体时间将在竞争性磋商文件的修改、补充通知中予以明确。</w:t>
      </w:r>
    </w:p>
    <w:p>
      <w:pPr>
        <w:pStyle w:val="5"/>
        <w:spacing w:before="0" w:after="0" w:line="480" w:lineRule="exact"/>
        <w:rPr>
          <w:rStyle w:val="22"/>
          <w:b w:val="0"/>
          <w:bCs w:val="0"/>
        </w:rPr>
      </w:pPr>
      <w:bookmarkStart w:id="125" w:name="_Toc3740"/>
      <w:bookmarkStart w:id="126" w:name="_Toc13832"/>
      <w:bookmarkStart w:id="127" w:name="_Toc28448"/>
      <w:bookmarkStart w:id="128" w:name="_Toc1928"/>
      <w:bookmarkStart w:id="129" w:name="_Toc20379"/>
      <w:bookmarkStart w:id="130" w:name="_Toc1362"/>
      <w:bookmarkStart w:id="131" w:name="_Toc20644"/>
      <w:bookmarkStart w:id="132" w:name="_Toc14751"/>
      <w:bookmarkStart w:id="133" w:name="_Toc31044"/>
      <w:bookmarkStart w:id="134" w:name="_Toc30699"/>
      <w:bookmarkStart w:id="135" w:name="_Toc18103"/>
      <w:bookmarkStart w:id="136" w:name="_Toc21141"/>
      <w:bookmarkStart w:id="137" w:name="_Toc460517731"/>
      <w:bookmarkStart w:id="138" w:name="_Toc418696224"/>
      <w:bookmarkStart w:id="139" w:name="_Toc465325837"/>
      <w:bookmarkStart w:id="140" w:name="_Toc460517774"/>
      <w:bookmarkStart w:id="141" w:name="_Toc13620"/>
      <w:bookmarkStart w:id="142" w:name="_Toc8133"/>
      <w:bookmarkStart w:id="143" w:name="_Toc20167"/>
      <w:bookmarkStart w:id="144" w:name="_Toc4610"/>
      <w:r>
        <w:rPr>
          <w:rStyle w:val="22"/>
          <w:rFonts w:hint="eastAsia"/>
          <w:b w:val="0"/>
          <w:bCs w:val="0"/>
        </w:rPr>
        <w:t>（三）响应性文件的编制</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480" w:lineRule="exact"/>
        <w:rPr>
          <w:rFonts w:ascii="宋体" w:hAnsi="宋体"/>
          <w:szCs w:val="21"/>
        </w:rPr>
      </w:pPr>
      <w:r>
        <w:rPr>
          <w:rFonts w:hint="eastAsia" w:ascii="宋体" w:hAnsi="宋体"/>
          <w:szCs w:val="21"/>
        </w:rPr>
        <w:t>8.响应性文件的语言</w:t>
      </w:r>
    </w:p>
    <w:p>
      <w:pPr>
        <w:spacing w:line="480" w:lineRule="exact"/>
        <w:ind w:firstLine="420" w:firstLineChars="200"/>
        <w:rPr>
          <w:rFonts w:ascii="宋体" w:hAnsi="宋体" w:cs="宋体"/>
          <w:spacing w:val="10"/>
          <w:szCs w:val="21"/>
        </w:rPr>
      </w:pPr>
      <w:r>
        <w:rPr>
          <w:rFonts w:hint="eastAsia" w:ascii="宋体" w:hAnsi="宋体"/>
          <w:szCs w:val="21"/>
        </w:rPr>
        <w:t>8.1响应性文件和与磋商有关的所有文件均应使用</w:t>
      </w:r>
      <w:r>
        <w:rPr>
          <w:rFonts w:hint="eastAsia" w:ascii="宋体" w:hAnsi="宋体"/>
          <w:szCs w:val="21"/>
          <w:u w:val="single"/>
        </w:rPr>
        <w:t xml:space="preserve"> 中文 </w:t>
      </w:r>
      <w:r>
        <w:rPr>
          <w:rFonts w:hint="eastAsia" w:ascii="宋体" w:hAnsi="宋体"/>
          <w:szCs w:val="21"/>
        </w:rPr>
        <w:t>。</w:t>
      </w:r>
    </w:p>
    <w:p>
      <w:pPr>
        <w:spacing w:line="480" w:lineRule="exact"/>
        <w:rPr>
          <w:rFonts w:ascii="宋体" w:hAnsi="宋体"/>
          <w:szCs w:val="21"/>
        </w:rPr>
      </w:pPr>
      <w:r>
        <w:rPr>
          <w:rFonts w:hint="eastAsia" w:ascii="宋体" w:hAnsi="宋体"/>
          <w:szCs w:val="21"/>
        </w:rPr>
        <w:t>9.响应性文件的组成</w:t>
      </w:r>
    </w:p>
    <w:p>
      <w:pPr>
        <w:spacing w:line="480" w:lineRule="exact"/>
        <w:ind w:firstLine="210" w:firstLineChars="100"/>
        <w:rPr>
          <w:rFonts w:ascii="宋体" w:hAnsi="宋体"/>
          <w:szCs w:val="21"/>
        </w:rPr>
      </w:pPr>
      <w:r>
        <w:rPr>
          <w:rFonts w:hint="eastAsia" w:ascii="宋体" w:hAnsi="宋体"/>
          <w:szCs w:val="21"/>
        </w:rPr>
        <w:t>9.1报价函</w:t>
      </w:r>
    </w:p>
    <w:p>
      <w:pPr>
        <w:spacing w:line="480" w:lineRule="exact"/>
        <w:ind w:firstLine="210" w:firstLineChars="100"/>
        <w:rPr>
          <w:rFonts w:ascii="宋体" w:hAnsi="宋体"/>
          <w:szCs w:val="21"/>
        </w:rPr>
      </w:pPr>
      <w:r>
        <w:rPr>
          <w:rFonts w:hint="eastAsia" w:ascii="宋体" w:hAnsi="宋体"/>
          <w:szCs w:val="21"/>
        </w:rPr>
        <w:t>9.2报价一览表</w:t>
      </w:r>
    </w:p>
    <w:p>
      <w:pPr>
        <w:spacing w:line="480" w:lineRule="exact"/>
        <w:ind w:firstLine="210" w:firstLineChars="100"/>
        <w:rPr>
          <w:rFonts w:ascii="宋体" w:hAnsi="宋体"/>
          <w:szCs w:val="21"/>
        </w:rPr>
      </w:pPr>
      <w:r>
        <w:rPr>
          <w:rFonts w:hint="eastAsia" w:ascii="宋体" w:hAnsi="宋体"/>
          <w:szCs w:val="21"/>
        </w:rPr>
        <w:t>9.3法定代表人身份证明</w:t>
      </w:r>
    </w:p>
    <w:p>
      <w:pPr>
        <w:spacing w:line="480" w:lineRule="exact"/>
        <w:ind w:firstLine="210" w:firstLineChars="100"/>
        <w:rPr>
          <w:rFonts w:ascii="宋体" w:hAnsi="宋体"/>
          <w:szCs w:val="21"/>
        </w:rPr>
      </w:pPr>
      <w:r>
        <w:rPr>
          <w:rFonts w:hint="eastAsia" w:ascii="宋体" w:hAnsi="宋体"/>
          <w:szCs w:val="21"/>
        </w:rPr>
        <w:t>9.4授权委托书</w:t>
      </w:r>
    </w:p>
    <w:p>
      <w:pPr>
        <w:spacing w:line="480" w:lineRule="exact"/>
        <w:ind w:firstLine="210" w:firstLineChars="100"/>
        <w:rPr>
          <w:rFonts w:ascii="宋体" w:hAnsi="宋体"/>
          <w:szCs w:val="21"/>
        </w:rPr>
      </w:pPr>
      <w:r>
        <w:rPr>
          <w:rFonts w:hint="eastAsia" w:ascii="宋体" w:hAnsi="宋体"/>
          <w:szCs w:val="21"/>
        </w:rPr>
        <w:t>9.5已标价工程量清单</w:t>
      </w:r>
    </w:p>
    <w:p>
      <w:pPr>
        <w:spacing w:line="480" w:lineRule="exact"/>
        <w:ind w:firstLine="210" w:firstLineChars="100"/>
        <w:rPr>
          <w:rFonts w:ascii="宋体" w:hAnsi="宋体"/>
          <w:szCs w:val="21"/>
        </w:rPr>
      </w:pPr>
      <w:r>
        <w:rPr>
          <w:rFonts w:hint="eastAsia" w:ascii="宋体" w:hAnsi="宋体"/>
          <w:szCs w:val="21"/>
        </w:rPr>
        <w:t>9.6施工组织设计</w:t>
      </w:r>
    </w:p>
    <w:p>
      <w:pPr>
        <w:spacing w:line="480" w:lineRule="exact"/>
        <w:ind w:firstLine="210" w:firstLineChars="100"/>
        <w:rPr>
          <w:rFonts w:ascii="宋体" w:hAnsi="宋体"/>
          <w:szCs w:val="21"/>
        </w:rPr>
      </w:pPr>
      <w:r>
        <w:rPr>
          <w:rFonts w:hint="eastAsia" w:ascii="宋体" w:hAnsi="宋体"/>
          <w:szCs w:val="21"/>
        </w:rPr>
        <w:t>9.7资格审查资料</w:t>
      </w:r>
    </w:p>
    <w:p>
      <w:pPr>
        <w:spacing w:line="480" w:lineRule="exact"/>
        <w:ind w:firstLine="210" w:firstLineChars="100"/>
        <w:rPr>
          <w:rFonts w:ascii="宋体" w:hAnsi="宋体"/>
          <w:szCs w:val="21"/>
        </w:rPr>
      </w:pPr>
      <w:r>
        <w:rPr>
          <w:rFonts w:hint="eastAsia" w:ascii="宋体" w:hAnsi="宋体"/>
          <w:szCs w:val="21"/>
        </w:rPr>
        <w:t>9.8竞争性磋商文件规定的其它资料</w:t>
      </w:r>
    </w:p>
    <w:p>
      <w:pPr>
        <w:spacing w:line="480" w:lineRule="exact"/>
        <w:rPr>
          <w:rFonts w:ascii="宋体" w:hAnsi="宋体"/>
          <w:szCs w:val="21"/>
        </w:rPr>
      </w:pPr>
      <w:r>
        <w:rPr>
          <w:rFonts w:hint="eastAsia" w:ascii="宋体" w:hAnsi="宋体"/>
          <w:szCs w:val="21"/>
        </w:rPr>
        <w:t>10.响应性文件格式</w:t>
      </w:r>
    </w:p>
    <w:p>
      <w:pPr>
        <w:spacing w:line="480" w:lineRule="exact"/>
        <w:ind w:firstLine="420" w:firstLineChars="200"/>
        <w:rPr>
          <w:rFonts w:ascii="宋体" w:hAnsi="宋体"/>
          <w:szCs w:val="21"/>
        </w:rPr>
      </w:pPr>
      <w:r>
        <w:rPr>
          <w:rFonts w:hint="eastAsia" w:ascii="宋体" w:hAnsi="宋体"/>
          <w:szCs w:val="21"/>
        </w:rPr>
        <w:t>10.1响应性文件应包括本须知第</w:t>
      </w:r>
      <w:r>
        <w:rPr>
          <w:rFonts w:hint="eastAsia" w:ascii="宋体" w:hAnsi="宋体"/>
          <w:szCs w:val="21"/>
          <w:lang w:val="en-US" w:eastAsia="zh-CN"/>
        </w:rPr>
        <w:t>10</w:t>
      </w:r>
      <w:r>
        <w:rPr>
          <w:rFonts w:hint="eastAsia" w:ascii="宋体" w:hAnsi="宋体"/>
          <w:szCs w:val="21"/>
        </w:rPr>
        <w:t>条中规定的全部内容，供应商提交的响应性文件应当使用竞争性磋商文件所提供的响应性文件全部格式（表格可以按同样格式扩展）。</w:t>
      </w:r>
    </w:p>
    <w:p>
      <w:pPr>
        <w:spacing w:line="480" w:lineRule="exact"/>
        <w:rPr>
          <w:rFonts w:ascii="宋体" w:hAnsi="宋体"/>
          <w:szCs w:val="21"/>
        </w:rPr>
      </w:pPr>
      <w:r>
        <w:rPr>
          <w:rFonts w:hint="eastAsia" w:ascii="宋体" w:hAnsi="宋体"/>
          <w:szCs w:val="21"/>
        </w:rPr>
        <w:t>11.报价</w:t>
      </w:r>
    </w:p>
    <w:p>
      <w:pPr>
        <w:spacing w:line="480" w:lineRule="exact"/>
        <w:ind w:firstLine="420" w:firstLineChars="200"/>
        <w:rPr>
          <w:rFonts w:ascii="宋体" w:hAnsi="宋体"/>
          <w:szCs w:val="21"/>
        </w:rPr>
      </w:pPr>
      <w:r>
        <w:rPr>
          <w:rFonts w:hint="eastAsia" w:ascii="宋体" w:hAnsi="宋体"/>
          <w:szCs w:val="21"/>
        </w:rPr>
        <w:t>11.1报价以报价函中报价为准，报价进行</w:t>
      </w:r>
      <w:r>
        <w:rPr>
          <w:rFonts w:hint="eastAsia" w:ascii="宋体" w:hAnsi="宋体"/>
          <w:b/>
          <w:bCs/>
          <w:szCs w:val="21"/>
          <w:u w:val="single"/>
        </w:rPr>
        <w:t>2</w:t>
      </w:r>
      <w:r>
        <w:rPr>
          <w:rFonts w:hint="eastAsia" w:ascii="宋体" w:hAnsi="宋体"/>
          <w:szCs w:val="21"/>
        </w:rPr>
        <w:t>轮报价。</w:t>
      </w:r>
    </w:p>
    <w:p>
      <w:pPr>
        <w:spacing w:line="480" w:lineRule="exact"/>
        <w:ind w:firstLine="420" w:firstLineChars="200"/>
        <w:rPr>
          <w:rFonts w:ascii="宋体" w:hAnsi="宋体"/>
          <w:szCs w:val="21"/>
        </w:rPr>
      </w:pPr>
      <w:r>
        <w:rPr>
          <w:rFonts w:hint="eastAsia" w:ascii="宋体" w:hAnsi="宋体"/>
          <w:szCs w:val="21"/>
        </w:rPr>
        <w:t>11.2供应商不得以任何理由在磋商结束后对最终报价予以修改，报价在磋商有效期内是固定的，不因任何原因而改变。任何包含价格调整要求和条件的报价，将被视为非实质性响应竞争性磋商文件而予与拒绝。</w:t>
      </w:r>
    </w:p>
    <w:p>
      <w:pPr>
        <w:spacing w:line="480" w:lineRule="exact"/>
        <w:ind w:firstLine="420" w:firstLineChars="200"/>
        <w:rPr>
          <w:rFonts w:ascii="宋体" w:hAnsi="宋体"/>
          <w:szCs w:val="21"/>
        </w:rPr>
      </w:pPr>
      <w:r>
        <w:rPr>
          <w:rFonts w:hint="eastAsia" w:ascii="宋体" w:hAnsi="宋体"/>
          <w:szCs w:val="21"/>
        </w:rPr>
        <w:t>11.3</w:t>
      </w:r>
      <w:r>
        <w:rPr>
          <w:rFonts w:hint="eastAsia" w:ascii="宋体" w:hAnsi="宋体"/>
          <w:b/>
          <w:bCs/>
          <w:szCs w:val="21"/>
        </w:rPr>
        <w:t>高于磋商采购控制价的响应文件将被拒绝</w:t>
      </w:r>
      <w:r>
        <w:rPr>
          <w:rFonts w:hint="eastAsia" w:ascii="宋体" w:hAnsi="宋体"/>
          <w:szCs w:val="21"/>
        </w:rPr>
        <w:t>。</w:t>
      </w:r>
    </w:p>
    <w:p>
      <w:pPr>
        <w:spacing w:line="480" w:lineRule="exact"/>
        <w:ind w:firstLine="420" w:firstLineChars="200"/>
        <w:rPr>
          <w:szCs w:val="21"/>
        </w:rPr>
      </w:pPr>
      <w:r>
        <w:rPr>
          <w:rFonts w:hint="eastAsia" w:ascii="宋体" w:hAnsi="宋体"/>
          <w:szCs w:val="21"/>
        </w:rPr>
        <w:t>11.4供应商在磋商报价中应认真测算综合考虑税金、措施费、代理服务费及其他有关的交付使用前所必需的所有费用，包括采购项目未考虑的但项目实施过程中必要的费用。</w:t>
      </w:r>
    </w:p>
    <w:p>
      <w:pPr>
        <w:spacing w:line="480" w:lineRule="exact"/>
        <w:rPr>
          <w:rFonts w:ascii="宋体" w:hAnsi="宋体"/>
          <w:szCs w:val="21"/>
        </w:rPr>
      </w:pPr>
      <w:r>
        <w:rPr>
          <w:rFonts w:hint="eastAsia" w:ascii="宋体" w:hAnsi="宋体"/>
          <w:szCs w:val="21"/>
        </w:rPr>
        <w:t>12.磋商货币</w:t>
      </w:r>
    </w:p>
    <w:p>
      <w:pPr>
        <w:spacing w:line="480" w:lineRule="exact"/>
        <w:ind w:firstLine="210" w:firstLineChars="100"/>
        <w:rPr>
          <w:rFonts w:ascii="宋体" w:hAnsi="宋体"/>
          <w:szCs w:val="21"/>
        </w:rPr>
      </w:pPr>
      <w:r>
        <w:rPr>
          <w:rFonts w:hint="eastAsia" w:ascii="宋体" w:hAnsi="宋体"/>
          <w:szCs w:val="21"/>
        </w:rPr>
        <w:t>12.1合同实施时以人民币支付。</w:t>
      </w:r>
    </w:p>
    <w:p>
      <w:pPr>
        <w:spacing w:line="420" w:lineRule="exact"/>
        <w:ind w:firstLine="460" w:firstLineChars="200"/>
        <w:rPr>
          <w:rFonts w:ascii="宋体" w:hAnsi="宋体"/>
          <w:szCs w:val="21"/>
        </w:rPr>
      </w:pPr>
      <w:r>
        <w:rPr>
          <w:rFonts w:hint="eastAsia" w:ascii="宋体" w:hAnsi="宋体" w:cs="宋体"/>
          <w:color w:val="000000"/>
          <w:spacing w:val="10"/>
          <w:szCs w:val="21"/>
        </w:rPr>
        <w:t>响应文件应当对竞争性磋商文件有关工期、磋商有效期、质量要求</w:t>
      </w:r>
      <w:r>
        <w:rPr>
          <w:rFonts w:hint="eastAsia" w:ascii="宋体" w:hAnsi="宋体" w:cs="宋体"/>
          <w:spacing w:val="10"/>
          <w:szCs w:val="21"/>
        </w:rPr>
        <w:t>、技术标准和要求</w:t>
      </w:r>
      <w:r>
        <w:rPr>
          <w:rFonts w:hint="eastAsia" w:ascii="宋体" w:hAnsi="宋体" w:cs="宋体"/>
          <w:color w:val="000000"/>
          <w:spacing w:val="10"/>
          <w:szCs w:val="21"/>
        </w:rPr>
        <w:t>等实质性内容作出响应。</w:t>
      </w:r>
    </w:p>
    <w:p>
      <w:pPr>
        <w:spacing w:line="480" w:lineRule="exact"/>
        <w:rPr>
          <w:rFonts w:ascii="宋体" w:hAnsi="宋体"/>
          <w:szCs w:val="21"/>
        </w:rPr>
      </w:pPr>
      <w:r>
        <w:rPr>
          <w:rFonts w:hint="eastAsia" w:ascii="宋体" w:hAnsi="宋体"/>
          <w:szCs w:val="21"/>
        </w:rPr>
        <w:t>13.磋商有效期</w:t>
      </w:r>
    </w:p>
    <w:p>
      <w:pPr>
        <w:spacing w:line="480" w:lineRule="exact"/>
        <w:ind w:firstLine="420" w:firstLineChars="200"/>
        <w:rPr>
          <w:rFonts w:ascii="宋体" w:hAnsi="宋体"/>
          <w:szCs w:val="21"/>
        </w:rPr>
      </w:pPr>
      <w:r>
        <w:rPr>
          <w:rFonts w:hint="eastAsia" w:ascii="宋体" w:hAnsi="宋体"/>
          <w:szCs w:val="21"/>
        </w:rPr>
        <w:t>13.1磋商有效期见本须知前附表所规定的期限，在此期限内，凡符合本竞争性磋商文件要求的响应性文件均保持有效。</w:t>
      </w:r>
    </w:p>
    <w:p>
      <w:pPr>
        <w:spacing w:line="480" w:lineRule="exact"/>
        <w:rPr>
          <w:rFonts w:ascii="宋体" w:hAnsi="宋体"/>
          <w:szCs w:val="21"/>
        </w:rPr>
      </w:pPr>
      <w:r>
        <w:rPr>
          <w:rFonts w:hint="eastAsia" w:ascii="宋体" w:hAnsi="宋体"/>
          <w:szCs w:val="21"/>
        </w:rPr>
        <w:t>15.响应性文件的份数和签署</w:t>
      </w:r>
    </w:p>
    <w:p>
      <w:pPr>
        <w:spacing w:line="480" w:lineRule="exact"/>
        <w:ind w:firstLine="420" w:firstLineChars="200"/>
        <w:rPr>
          <w:rFonts w:ascii="宋体" w:hAnsi="宋体"/>
          <w:color w:val="FF0000"/>
          <w:szCs w:val="21"/>
        </w:rPr>
      </w:pPr>
      <w:r>
        <w:rPr>
          <w:rFonts w:hint="eastAsia" w:ascii="宋体" w:hAnsi="宋体"/>
          <w:szCs w:val="21"/>
        </w:rPr>
        <w:t>15.1供应商应按本须知前附表规定的份数提交电子版响应性文件。</w:t>
      </w:r>
    </w:p>
    <w:p>
      <w:pPr>
        <w:spacing w:line="480" w:lineRule="exact"/>
        <w:ind w:firstLine="420" w:firstLineChars="200"/>
        <w:rPr>
          <w:rFonts w:ascii="宋体" w:hAnsi="宋体"/>
          <w:szCs w:val="21"/>
        </w:rPr>
      </w:pPr>
      <w:r>
        <w:rPr>
          <w:rFonts w:hint="eastAsia" w:ascii="宋体" w:hAnsi="宋体"/>
          <w:szCs w:val="21"/>
        </w:rPr>
        <w:t>15.2电子磋商响应文件封面须加盖单位或法定代表人的电子签章。</w:t>
      </w:r>
    </w:p>
    <w:p>
      <w:pPr>
        <w:tabs>
          <w:tab w:val="left" w:pos="0"/>
        </w:tabs>
        <w:spacing w:line="480" w:lineRule="exact"/>
        <w:ind w:firstLine="420" w:firstLineChars="200"/>
        <w:rPr>
          <w:rFonts w:ascii="宋体" w:hAnsi="宋体"/>
          <w:szCs w:val="21"/>
        </w:rPr>
      </w:pPr>
      <w:r>
        <w:rPr>
          <w:rFonts w:hint="eastAsia" w:ascii="宋体" w:hAnsi="宋体"/>
          <w:szCs w:val="21"/>
        </w:rPr>
        <w:t>15.3</w:t>
      </w:r>
      <w:r>
        <w:rPr>
          <w:rFonts w:hint="eastAsia" w:ascii="宋体" w:hAnsi="宋体"/>
          <w:b/>
          <w:szCs w:val="21"/>
        </w:rPr>
        <w:t>加密电子响应文件、未加密电子磋商文件U盘应一致，不一致时以加密电子磋商文件为准。如加密电子磋商文件出现问题，以未加密电子磋商文件U盘为准。</w:t>
      </w:r>
    </w:p>
    <w:p>
      <w:pPr>
        <w:spacing w:line="360" w:lineRule="auto"/>
        <w:ind w:firstLine="420" w:firstLineChars="200"/>
        <w:rPr>
          <w:b/>
          <w:bCs/>
          <w:highlight w:val="yellow"/>
        </w:rPr>
      </w:pPr>
      <w:bookmarkStart w:id="145" w:name="_Toc465325838"/>
      <w:bookmarkStart w:id="146" w:name="_Toc418696225"/>
      <w:bookmarkStart w:id="147" w:name="_Toc13771"/>
      <w:bookmarkStart w:id="148" w:name="_Toc17784"/>
      <w:bookmarkStart w:id="149" w:name="_Toc460517775"/>
      <w:bookmarkStart w:id="150" w:name="_Toc460517732"/>
      <w:bookmarkStart w:id="151" w:name="_Toc8332"/>
      <w:bookmarkStart w:id="152" w:name="_Toc30654"/>
      <w:bookmarkStart w:id="153" w:name="_Toc31005"/>
      <w:bookmarkStart w:id="154" w:name="_Toc7461"/>
      <w:bookmarkStart w:id="155" w:name="_Toc17353"/>
      <w:bookmarkStart w:id="156" w:name="_Toc14523"/>
      <w:bookmarkStart w:id="157" w:name="_Toc21421"/>
      <w:bookmarkStart w:id="158" w:name="_Toc24911"/>
      <w:bookmarkStart w:id="159" w:name="_Toc12047"/>
      <w:bookmarkStart w:id="160" w:name="_Toc32337"/>
      <w:bookmarkStart w:id="161" w:name="_Toc30832"/>
      <w:bookmarkStart w:id="162" w:name="_Toc8073"/>
      <w:bookmarkStart w:id="163" w:name="_Toc19146"/>
      <w:bookmarkStart w:id="164" w:name="_Toc4007"/>
      <w:r>
        <w:rPr>
          <w:rFonts w:hint="eastAsia" w:ascii="宋体" w:hAnsi="宋体"/>
          <w:szCs w:val="21"/>
        </w:rPr>
        <w:t xml:space="preserve">15.4   </w:t>
      </w:r>
      <w:r>
        <w:rPr>
          <w:rFonts w:hint="eastAsia"/>
          <w:b/>
          <w:bCs/>
          <w:highlight w:val="yellow"/>
        </w:rPr>
        <w:t>特别注意事项</w:t>
      </w:r>
    </w:p>
    <w:p>
      <w:pPr>
        <w:spacing w:line="360" w:lineRule="auto"/>
        <w:ind w:firstLine="422" w:firstLineChars="200"/>
        <w:rPr>
          <w:rFonts w:ascii="宋体" w:hAnsi="宋体"/>
          <w:szCs w:val="21"/>
        </w:rPr>
      </w:pPr>
      <w:r>
        <w:rPr>
          <w:rFonts w:hint="eastAsia" w:ascii="宋体" w:hAnsi="宋体" w:cs="宋体"/>
          <w:b/>
          <w:color w:val="000000"/>
          <w:kern w:val="0"/>
          <w:szCs w:val="21"/>
          <w:highlight w:val="yellow"/>
        </w:rPr>
        <w:t>温馨提示：本项目为电子化交易项目，磋商时需上传</w:t>
      </w:r>
      <w:r>
        <w:rPr>
          <w:rFonts w:hint="eastAsia" w:ascii="宋体" w:hAnsi="宋体"/>
          <w:b/>
          <w:color w:val="000000"/>
          <w:szCs w:val="21"/>
          <w:highlight w:val="yellow"/>
        </w:rPr>
        <w:t>电子版磋商响应文件</w:t>
      </w:r>
      <w:r>
        <w:rPr>
          <w:rFonts w:hint="eastAsia" w:ascii="宋体" w:hAnsi="宋体" w:cs="宋体"/>
          <w:b/>
          <w:color w:val="000000"/>
          <w:kern w:val="0"/>
          <w:szCs w:val="21"/>
          <w:highlight w:val="yellow"/>
        </w:rPr>
        <w:t>，为保证您能磋商成功，请需仔细阅读以下条款。</w:t>
      </w:r>
    </w:p>
    <w:p>
      <w:pPr>
        <w:spacing w:line="360" w:lineRule="auto"/>
        <w:ind w:firstLine="422" w:firstLineChars="200"/>
        <w:rPr>
          <w:rFonts w:ascii="宋体" w:hAnsi="宋体" w:cs="宋体"/>
          <w:color w:val="000000"/>
          <w:kern w:val="0"/>
          <w:szCs w:val="21"/>
          <w:highlight w:val="yellow"/>
        </w:rPr>
      </w:pPr>
      <w:r>
        <w:rPr>
          <w:rFonts w:hint="eastAsia" w:ascii="宋体" w:hAnsi="宋体" w:cs="宋体"/>
          <w:b/>
          <w:color w:val="000000"/>
          <w:kern w:val="0"/>
          <w:szCs w:val="21"/>
          <w:highlight w:val="yellow"/>
        </w:rPr>
        <w:t>磋商响应文件是供应商通过</w:t>
      </w:r>
      <w:r>
        <w:rPr>
          <w:rFonts w:hint="eastAsia" w:ascii="宋体" w:hAnsi="宋体"/>
          <w:b/>
          <w:color w:val="000000"/>
          <w:szCs w:val="21"/>
          <w:highlight w:val="yellow"/>
        </w:rPr>
        <w:t>中心磋商文件制作系统制作，并经过电子签章和加密后生成的电子版磋商响应文件。</w:t>
      </w:r>
      <w:r>
        <w:rPr>
          <w:rFonts w:hint="eastAsia" w:ascii="宋体" w:hAnsi="宋体"/>
          <w:b/>
          <w:bCs/>
          <w:color w:val="000000"/>
          <w:szCs w:val="21"/>
          <w:highlight w:val="yellow"/>
        </w:rPr>
        <w:t>电子化磋商响应文件具体制作教材请供应商通过CA证书登录平顶山市公共资源电子化交易网在 “组件下载”中查看。</w:t>
      </w:r>
    </w:p>
    <w:p>
      <w:pPr>
        <w:spacing w:line="360" w:lineRule="auto"/>
        <w:ind w:firstLine="422" w:firstLineChars="200"/>
        <w:rPr>
          <w:rFonts w:ascii="宋体" w:hAnsi="宋体" w:cs="宋体"/>
          <w:b/>
          <w:color w:val="000000"/>
          <w:kern w:val="0"/>
          <w:szCs w:val="21"/>
          <w:highlight w:val="yellow"/>
        </w:rPr>
      </w:pPr>
      <w:r>
        <w:rPr>
          <w:rFonts w:hint="eastAsia" w:ascii="宋体" w:hAnsi="宋体" w:cs="宋体"/>
          <w:b/>
          <w:color w:val="000000"/>
          <w:kern w:val="0"/>
          <w:szCs w:val="21"/>
          <w:highlight w:val="yellow"/>
        </w:rPr>
        <w:t>一、电子化磋商</w:t>
      </w:r>
    </w:p>
    <w:p>
      <w:pPr>
        <w:snapToGrid w:val="0"/>
        <w:spacing w:line="360" w:lineRule="auto"/>
        <w:ind w:firstLine="573"/>
        <w:rPr>
          <w:rFonts w:ascii="宋体" w:hAnsi="宋体"/>
          <w:color w:val="000000"/>
          <w:szCs w:val="21"/>
          <w:highlight w:val="yellow"/>
        </w:rPr>
      </w:pPr>
      <w:r>
        <w:rPr>
          <w:rFonts w:hint="eastAsia" w:ascii="宋体" w:hAnsi="宋体"/>
          <w:color w:val="000000"/>
          <w:szCs w:val="21"/>
          <w:highlight w:val="yellow"/>
        </w:rPr>
        <w:t>（一）电子化磋商响应文件的签章</w:t>
      </w:r>
    </w:p>
    <w:p>
      <w:pPr>
        <w:snapToGrid w:val="0"/>
        <w:spacing w:line="360" w:lineRule="auto"/>
        <w:ind w:firstLine="573"/>
        <w:rPr>
          <w:rFonts w:ascii="宋体" w:hAnsi="宋体"/>
          <w:color w:val="000000"/>
          <w:szCs w:val="21"/>
          <w:highlight w:val="yellow"/>
        </w:rPr>
      </w:pPr>
      <w:r>
        <w:rPr>
          <w:rFonts w:hint="eastAsia" w:ascii="宋体" w:hAnsi="宋体"/>
          <w:color w:val="000000"/>
          <w:szCs w:val="21"/>
          <w:highlight w:val="yellow"/>
        </w:rPr>
        <w:t>1、供应商在生成电子化磋商响应文件后，应对电子化磋商响应文件进行签章，未进行签章的视为无效磋商响应文件。</w:t>
      </w:r>
    </w:p>
    <w:p>
      <w:pPr>
        <w:spacing w:line="360" w:lineRule="auto"/>
        <w:ind w:firstLine="420" w:firstLineChars="200"/>
        <w:rPr>
          <w:rFonts w:ascii="宋体" w:hAnsi="宋体"/>
          <w:color w:val="000000"/>
          <w:szCs w:val="21"/>
          <w:highlight w:val="yellow"/>
        </w:rPr>
      </w:pPr>
      <w:r>
        <w:rPr>
          <w:rFonts w:hint="eastAsia" w:ascii="宋体" w:hAnsi="宋体"/>
          <w:color w:val="000000"/>
          <w:szCs w:val="21"/>
          <w:highlight w:val="yellow"/>
        </w:rPr>
        <w:t>2、竞争性磋商响应文件中要求</w:t>
      </w:r>
      <w:r>
        <w:rPr>
          <w:rFonts w:hint="eastAsia" w:ascii="宋体" w:hAnsi="宋体"/>
          <w:b/>
          <w:color w:val="000000"/>
          <w:szCs w:val="21"/>
          <w:highlight w:val="yellow"/>
        </w:rPr>
        <w:t>法定代表人或授权委托人签字或盖章的，</w:t>
      </w:r>
      <w:r>
        <w:rPr>
          <w:rFonts w:hint="eastAsia" w:ascii="宋体" w:hAnsi="宋体"/>
          <w:color w:val="000000"/>
          <w:szCs w:val="21"/>
          <w:highlight w:val="yellow"/>
        </w:rPr>
        <w:t>供应商在进行</w:t>
      </w:r>
      <w:r>
        <w:rPr>
          <w:rFonts w:hint="eastAsia" w:ascii="宋体" w:hAnsi="宋体"/>
          <w:b/>
          <w:color w:val="000000"/>
          <w:szCs w:val="21"/>
          <w:highlight w:val="yellow"/>
        </w:rPr>
        <w:t>电子化磋商响应文件签章时，以签盖法定代表人签章为准。</w:t>
      </w:r>
      <w:r>
        <w:rPr>
          <w:rFonts w:hint="eastAsia" w:ascii="宋体" w:hAnsi="宋体"/>
          <w:color w:val="000000"/>
          <w:szCs w:val="21"/>
          <w:highlight w:val="yellow"/>
        </w:rPr>
        <w:t>电子化磋商响应文件具体制作教材请供应商通过CA证书登录平顶山市公共资源电子化交易网在右上角</w:t>
      </w:r>
      <w:r>
        <w:rPr>
          <w:rFonts w:hint="eastAsia" w:ascii="宋体" w:hAnsi="宋体"/>
          <w:color w:val="FF0000"/>
          <w:szCs w:val="21"/>
          <w:highlight w:val="yellow"/>
        </w:rPr>
        <w:t>“组件下载”中</w:t>
      </w:r>
      <w:r>
        <w:rPr>
          <w:rFonts w:hint="eastAsia" w:ascii="宋体" w:hAnsi="宋体"/>
          <w:color w:val="000000"/>
          <w:szCs w:val="21"/>
          <w:highlight w:val="yellow"/>
        </w:rPr>
        <w:t>查看。</w:t>
      </w:r>
    </w:p>
    <w:p>
      <w:pPr>
        <w:spacing w:line="360" w:lineRule="auto"/>
        <w:ind w:firstLine="420" w:firstLineChars="200"/>
        <w:rPr>
          <w:rFonts w:ascii="宋体" w:hAnsi="宋体"/>
          <w:b/>
          <w:color w:val="000000"/>
          <w:szCs w:val="21"/>
          <w:highlight w:val="yellow"/>
        </w:rPr>
      </w:pPr>
      <w:r>
        <w:rPr>
          <w:rFonts w:hint="eastAsia" w:ascii="宋体" w:hAnsi="宋体"/>
          <w:color w:val="000000"/>
          <w:szCs w:val="21"/>
          <w:highlight w:val="yellow"/>
        </w:rPr>
        <w:t>（二）电子化磋商响应文件的格式及上传</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1、供应商所上传的电子化磋商响应文件，应是通过中心磋商响应文件制作系统制作的，经过签章和加密后生成的电子版磋商响应文件。生成的电子版磋商响应文件包含用于磋商响应文件上传的主文件（文件格式为：xxx公司+项目编号.file）和用于应急补救的磋商响应文件备份文件（文件格式为：xxx公司+项目编号.bin），备份文件主要用于电子化开标出现技术问题后的补救，请供应商随身携带。</w:t>
      </w:r>
    </w:p>
    <w:p>
      <w:pPr>
        <w:snapToGrid w:val="0"/>
        <w:spacing w:line="380" w:lineRule="exact"/>
        <w:ind w:firstLine="573"/>
        <w:rPr>
          <w:rFonts w:ascii="宋体" w:hAnsi="宋体"/>
          <w:b/>
          <w:color w:val="000000"/>
          <w:szCs w:val="21"/>
          <w:highlight w:val="yellow"/>
        </w:rPr>
      </w:pPr>
      <w:r>
        <w:rPr>
          <w:rFonts w:hint="eastAsia" w:ascii="宋体" w:hAnsi="宋体"/>
          <w:b/>
          <w:color w:val="000000"/>
          <w:szCs w:val="21"/>
          <w:highlight w:val="yellow"/>
        </w:rPr>
        <w:t>注：（1）供应商投报多个标段的，根据标段制作各个标段的磋商文件后上传。</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2、电子化磋商响应文件应在竞争性磋商响应文件递交截止时间前成功上传至平顶山市公共资源电子化交易系统。至竞争性磋商响应文件递交截止时间止，仍未上传成功的电子化磋商响应文件将不予接收。</w:t>
      </w:r>
    </w:p>
    <w:p>
      <w:pPr>
        <w:snapToGrid w:val="0"/>
        <w:spacing w:line="380" w:lineRule="exact"/>
        <w:ind w:firstLine="573"/>
        <w:rPr>
          <w:rFonts w:ascii="宋体" w:hAnsi="宋体"/>
          <w:color w:val="000000"/>
          <w:szCs w:val="21"/>
          <w:highlight w:val="yellow"/>
        </w:rPr>
      </w:pPr>
      <w:r>
        <w:rPr>
          <w:rFonts w:hint="eastAsia" w:ascii="宋体" w:hAnsi="宋体"/>
          <w:b/>
          <w:color w:val="000000"/>
          <w:szCs w:val="21"/>
          <w:highlight w:val="yellow"/>
        </w:rPr>
        <w:t>注：</w:t>
      </w:r>
      <w:r>
        <w:rPr>
          <w:rFonts w:hint="eastAsia" w:ascii="宋体" w:hAnsi="宋体"/>
          <w:b/>
          <w:bCs/>
          <w:color w:val="000000"/>
          <w:szCs w:val="21"/>
          <w:highlight w:val="yellow"/>
        </w:rPr>
        <w:t>如按照电子化磋商操作教材制作完成的电子化磋商响应文件无法上传的，供应商应在竞争性磋商响应文件递交截止时间前尽早的联系中心技术人员，以便有充分的时间进行处理</w:t>
      </w:r>
      <w:r>
        <w:rPr>
          <w:rFonts w:hint="eastAsia" w:ascii="宋体" w:hAnsi="宋体"/>
          <w:color w:val="000000"/>
          <w:szCs w:val="21"/>
          <w:highlight w:val="yellow"/>
        </w:rPr>
        <w:t>。</w:t>
      </w:r>
      <w:r>
        <w:rPr>
          <w:rFonts w:hint="eastAsia" w:ascii="宋体" w:hAnsi="宋体"/>
          <w:b/>
          <w:color w:val="000000"/>
          <w:szCs w:val="21"/>
          <w:highlight w:val="yellow"/>
        </w:rPr>
        <w:t>供应商应充分考虑到处理技术问题和上传数据等工作所需的时间问题，磋商响应文件未在竞争性磋商响应文件递交截止时间前成功上传的，其磋商响应文件不予接收。</w:t>
      </w:r>
    </w:p>
    <w:p>
      <w:pPr>
        <w:numPr>
          <w:ilvl w:val="0"/>
          <w:numId w:val="3"/>
        </w:num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电子化项目解密、评审</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1、本项目采用</w:t>
      </w:r>
      <w:r>
        <w:rPr>
          <w:rFonts w:hint="eastAsia" w:ascii="宋体" w:hAnsi="宋体"/>
          <w:b/>
          <w:color w:val="000000"/>
          <w:szCs w:val="21"/>
          <w:highlight w:val="yellow"/>
        </w:rPr>
        <w:t>电子化</w:t>
      </w:r>
      <w:r>
        <w:rPr>
          <w:rFonts w:hint="eastAsia" w:ascii="宋体" w:hAnsi="宋体"/>
          <w:color w:val="000000"/>
          <w:szCs w:val="21"/>
          <w:highlight w:val="yellow"/>
        </w:rPr>
        <w:t>进行采购，请各供应商携带CA证书至开标现场参加开标会议。</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2、电子化磋商响应文件采用双重加密方式。开标时，供应商携带CA证书至现场参加开标，首先应按照中介服务机构指引，使用供应商CA证书对其电子化磋商响应文件进行首次解密。供应商解密完成后，再由中介服务机构使用CA证书对磋商响应文件进行再次解密。</w:t>
      </w:r>
    </w:p>
    <w:p>
      <w:pPr>
        <w:snapToGrid w:val="0"/>
        <w:spacing w:line="380" w:lineRule="exact"/>
        <w:ind w:firstLine="573"/>
        <w:rPr>
          <w:rFonts w:ascii="宋体" w:hAnsi="宋体"/>
          <w:b/>
          <w:color w:val="000000"/>
          <w:szCs w:val="21"/>
          <w:highlight w:val="yellow"/>
        </w:rPr>
      </w:pPr>
      <w:r>
        <w:rPr>
          <w:rFonts w:hint="eastAsia" w:ascii="宋体" w:hAnsi="宋体"/>
          <w:color w:val="000000"/>
          <w:szCs w:val="21"/>
          <w:highlight w:val="yellow"/>
        </w:rPr>
        <w:t>3、电子化磋商响应文件解密异常的处理</w:t>
      </w:r>
    </w:p>
    <w:p>
      <w:pPr>
        <w:snapToGrid w:val="0"/>
        <w:spacing w:line="380" w:lineRule="exact"/>
        <w:ind w:firstLine="420" w:firstLineChars="200"/>
        <w:rPr>
          <w:rFonts w:ascii="宋体" w:hAnsi="宋体"/>
          <w:color w:val="000000"/>
          <w:szCs w:val="21"/>
          <w:highlight w:val="yellow"/>
        </w:rPr>
      </w:pPr>
      <w:r>
        <w:rPr>
          <w:rFonts w:hint="eastAsia" w:ascii="宋体" w:hAnsi="宋体"/>
          <w:color w:val="000000"/>
          <w:szCs w:val="21"/>
          <w:highlight w:val="yellow"/>
        </w:rPr>
        <w:t>如出现供应商的电子磋商响应文件无法解密的情况，供应商应及时致电中介服务机构说明。磋商响应文件解密异常，按以下步骤进行处理：</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（1）首先由技术人员进行问题排查。</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（2）经技术人员排查后，是供应商文件自身问题导致磋商响应文件无法解密的，该磋商响应文件将不予接收、解密。开标会议继续进行。</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3）经技术人员排查后，如果是电子化交易系统问题造成磋商响应文件无法解密的，将由技术人员对问题进行处理。如短时间内问题无法解决的，将由中介服务机构向监督部门申请，经监督部门同意后，暂停开标会议，待问题解决后继续开标。</w:t>
      </w:r>
    </w:p>
    <w:p>
      <w:pPr>
        <w:snapToGrid w:val="0"/>
        <w:spacing w:line="380" w:lineRule="exact"/>
        <w:ind w:firstLine="573"/>
        <w:rPr>
          <w:rFonts w:ascii="宋体" w:hAnsi="宋体"/>
          <w:color w:val="000000"/>
          <w:szCs w:val="21"/>
          <w:highlight w:val="yellow"/>
        </w:rPr>
      </w:pPr>
      <w:r>
        <w:rPr>
          <w:rFonts w:hint="eastAsia" w:ascii="宋体" w:hAnsi="宋体"/>
          <w:color w:val="000000"/>
          <w:szCs w:val="21"/>
          <w:highlight w:val="yellow"/>
        </w:rPr>
        <w:t>4、待所有供应商磋商磋商文件解密完成后，由中介服务机构操作，将已解密的磋商响应文件提交评审小组评审。</w:t>
      </w:r>
    </w:p>
    <w:p>
      <w:pPr>
        <w:snapToGrid w:val="0"/>
        <w:spacing w:line="380" w:lineRule="exact"/>
        <w:ind w:firstLine="573"/>
        <w:rPr>
          <w:rFonts w:ascii="宋体" w:hAnsi="宋体" w:cs="宋体"/>
          <w:color w:val="000000"/>
          <w:kern w:val="0"/>
          <w:szCs w:val="21"/>
          <w:highlight w:val="yellow"/>
        </w:rPr>
      </w:pPr>
      <w:r>
        <w:rPr>
          <w:rFonts w:hint="eastAsia" w:ascii="宋体" w:hAnsi="宋体" w:cs="宋体"/>
          <w:color w:val="000000"/>
          <w:kern w:val="0"/>
          <w:szCs w:val="21"/>
          <w:highlight w:val="yellow"/>
        </w:rPr>
        <w:t>5、磋商时供应商可登录到交易系统中在开标大厅中查看自己的二次报价。如对自己的报价等内容有异议的，应在内容显示后20分钟内通过平顶山市公共资源交易网电子化交易系统提出质疑。供应商未在规定时间内提出质疑的，视为认可记录内容。</w:t>
      </w:r>
    </w:p>
    <w:p>
      <w:pPr>
        <w:snapToGrid w:val="0"/>
        <w:spacing w:line="380" w:lineRule="exact"/>
        <w:ind w:firstLine="573"/>
        <w:rPr>
          <w:rFonts w:ascii="宋体" w:hAnsi="宋体"/>
          <w:color w:val="000000"/>
          <w:szCs w:val="21"/>
        </w:rPr>
      </w:pPr>
      <w:r>
        <w:rPr>
          <w:rFonts w:hint="eastAsia" w:ascii="宋体" w:hAnsi="宋体"/>
          <w:color w:val="000000"/>
          <w:szCs w:val="21"/>
          <w:highlight w:val="yellow"/>
        </w:rPr>
        <w:t>6、评审时，评审小组对电子化磋商响应文件有质疑的，通过电子化交易系统对供应商发起质疑。</w:t>
      </w:r>
    </w:p>
    <w:p>
      <w:pPr>
        <w:snapToGrid w:val="0"/>
        <w:spacing w:line="380" w:lineRule="exact"/>
        <w:ind w:firstLine="422" w:firstLineChars="200"/>
        <w:rPr>
          <w:rFonts w:ascii="宋体" w:hAnsi="宋体" w:cs="宋体"/>
          <w:color w:val="000000"/>
          <w:kern w:val="0"/>
          <w:szCs w:val="21"/>
          <w:highlight w:val="yellow"/>
        </w:rPr>
      </w:pPr>
      <w:r>
        <w:rPr>
          <w:rFonts w:hint="eastAsia" w:ascii="宋体" w:hAnsi="宋体"/>
          <w:b/>
          <w:color w:val="000000"/>
          <w:szCs w:val="21"/>
          <w:highlight w:val="yellow"/>
        </w:rPr>
        <w:t>供应商应保证在磋商期间电话、电脑、网络能够正常工作，供应商因停电、电脑病毒、网络堵塞等原因，未在规定的解密时间内对磋商响应文件进行解密的，其磋商文件不予接收。</w:t>
      </w:r>
    </w:p>
    <w:p>
      <w:pPr>
        <w:tabs>
          <w:tab w:val="left" w:pos="0"/>
        </w:tabs>
        <w:spacing w:line="480" w:lineRule="exact"/>
        <w:ind w:firstLine="482" w:firstLineChars="200"/>
        <w:jc w:val="center"/>
        <w:rPr>
          <w:rStyle w:val="23"/>
          <w:rFonts w:cs="Times New Roman"/>
          <w:kern w:val="2"/>
          <w:sz w:val="24"/>
        </w:rPr>
      </w:pPr>
      <w:r>
        <w:rPr>
          <w:rStyle w:val="23"/>
          <w:rFonts w:hint="eastAsia"/>
          <w:sz w:val="24"/>
        </w:rPr>
        <w:t>（四）响应性文件的提交</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bookmarkEnd w:id="160"/>
    <w:bookmarkEnd w:id="161"/>
    <w:bookmarkEnd w:id="162"/>
    <w:bookmarkEnd w:id="163"/>
    <w:bookmarkEnd w:id="164"/>
    <w:p>
      <w:pPr>
        <w:spacing w:line="480" w:lineRule="exact"/>
        <w:jc w:val="left"/>
        <w:rPr>
          <w:rFonts w:ascii="宋体" w:hAnsi="宋体"/>
          <w:szCs w:val="21"/>
        </w:rPr>
      </w:pPr>
      <w:r>
        <w:rPr>
          <w:rFonts w:hint="eastAsia" w:ascii="宋体" w:hAnsi="宋体"/>
          <w:szCs w:val="21"/>
        </w:rPr>
        <w:t>16.响应性文件的密封和标记</w:t>
      </w:r>
    </w:p>
    <w:p>
      <w:pPr>
        <w:spacing w:line="480" w:lineRule="exact"/>
        <w:ind w:firstLine="422" w:firstLineChars="200"/>
        <w:jc w:val="left"/>
        <w:rPr>
          <w:rFonts w:ascii="宋体" w:hAnsi="宋体"/>
          <w:szCs w:val="21"/>
        </w:rPr>
      </w:pPr>
      <w:r>
        <w:rPr>
          <w:rFonts w:hint="eastAsia" w:ascii="宋体" w:hAnsi="宋体"/>
          <w:b/>
          <w:bCs/>
          <w:szCs w:val="21"/>
        </w:rPr>
        <w:t>16.1供应商应将响应性文件电子版u盘密封在同一个包封内，并在封口处加贴封条，并在封套的封口处加盖供应商单位公章。</w:t>
      </w:r>
    </w:p>
    <w:p>
      <w:pPr>
        <w:tabs>
          <w:tab w:val="left" w:pos="840"/>
        </w:tabs>
        <w:spacing w:line="480" w:lineRule="exact"/>
        <w:ind w:firstLine="420" w:firstLineChars="200"/>
        <w:jc w:val="left"/>
        <w:rPr>
          <w:rFonts w:ascii="宋体" w:hAnsi="宋体"/>
          <w:szCs w:val="21"/>
        </w:rPr>
      </w:pPr>
      <w:r>
        <w:rPr>
          <w:rFonts w:hint="eastAsia" w:ascii="宋体" w:hAnsi="宋体"/>
          <w:szCs w:val="21"/>
        </w:rPr>
        <w:t>16.2响应性文件封皮上写明项目名称、供应商全称，并注明“响应性文件”字样。</w:t>
      </w:r>
    </w:p>
    <w:p>
      <w:pPr>
        <w:spacing w:line="480" w:lineRule="exact"/>
        <w:jc w:val="left"/>
        <w:rPr>
          <w:rFonts w:ascii="宋体" w:hAnsi="宋体"/>
          <w:szCs w:val="21"/>
        </w:rPr>
      </w:pPr>
      <w:r>
        <w:rPr>
          <w:rFonts w:hint="eastAsia" w:ascii="宋体" w:hAnsi="宋体"/>
          <w:szCs w:val="21"/>
        </w:rPr>
        <w:t>17响应性文件的提交</w:t>
      </w:r>
    </w:p>
    <w:p>
      <w:pPr>
        <w:spacing w:line="480" w:lineRule="exact"/>
        <w:ind w:firstLine="420" w:firstLineChars="200"/>
        <w:jc w:val="left"/>
        <w:rPr>
          <w:rFonts w:ascii="宋体" w:hAnsi="宋体"/>
          <w:b/>
          <w:szCs w:val="21"/>
        </w:rPr>
      </w:pPr>
      <w:r>
        <w:rPr>
          <w:rFonts w:hint="eastAsia" w:ascii="宋体" w:hAnsi="宋体"/>
          <w:szCs w:val="21"/>
        </w:rPr>
        <w:t>17.1</w:t>
      </w:r>
      <w:r>
        <w:rPr>
          <w:rFonts w:hint="eastAsia" w:ascii="宋体" w:hAnsi="宋体"/>
          <w:b/>
          <w:szCs w:val="21"/>
        </w:rPr>
        <w:t>供应商应在竞争性磋商响应文件递交截止时间前上传加密的电子磋商响应文件（.file）到平顶山公共资源电子交易系统的指定位置。上传时必须得到电脑“上传成功”的确认。请供应商在上传时认真检查上传磋商响应文件是否完整、正确。</w:t>
      </w:r>
    </w:p>
    <w:p>
      <w:pPr>
        <w:spacing w:line="480" w:lineRule="exact"/>
        <w:ind w:firstLine="422" w:firstLineChars="200"/>
        <w:jc w:val="left"/>
        <w:rPr>
          <w:rFonts w:ascii="宋体" w:hAnsi="宋体"/>
          <w:b/>
          <w:szCs w:val="21"/>
        </w:rPr>
      </w:pPr>
      <w:r>
        <w:rPr>
          <w:rFonts w:hint="eastAsia" w:ascii="宋体" w:hAnsi="宋体"/>
          <w:b/>
          <w:szCs w:val="21"/>
        </w:rPr>
        <w:t>电子版磋商响应文件的递交：</w:t>
      </w:r>
    </w:p>
    <w:p>
      <w:pPr>
        <w:spacing w:line="480" w:lineRule="exact"/>
        <w:ind w:firstLine="422" w:firstLineChars="200"/>
        <w:jc w:val="left"/>
        <w:rPr>
          <w:rFonts w:ascii="宋体" w:hAnsi="宋体"/>
          <w:b/>
          <w:szCs w:val="21"/>
        </w:rPr>
      </w:pPr>
      <w:r>
        <w:rPr>
          <w:rFonts w:hint="eastAsia" w:ascii="宋体" w:hAnsi="宋体"/>
          <w:b/>
          <w:szCs w:val="21"/>
        </w:rPr>
        <w:t>现场递交未加密电子磋商响应文件U盘壹份，供应商应在本章前附表第20项规定的竞争性磋商响应文件递交截止时间前递交磋商响应文件。</w:t>
      </w:r>
    </w:p>
    <w:p>
      <w:pPr>
        <w:spacing w:line="480" w:lineRule="exact"/>
        <w:jc w:val="left"/>
        <w:rPr>
          <w:rFonts w:ascii="宋体" w:hAnsi="宋体"/>
          <w:szCs w:val="21"/>
        </w:rPr>
      </w:pPr>
      <w:r>
        <w:rPr>
          <w:rFonts w:hint="eastAsia" w:ascii="宋体" w:hAnsi="宋体"/>
          <w:szCs w:val="21"/>
        </w:rPr>
        <w:t>18响应性文件提交的截止时间</w:t>
      </w:r>
    </w:p>
    <w:p>
      <w:pPr>
        <w:spacing w:line="480" w:lineRule="exact"/>
        <w:ind w:firstLine="420" w:firstLineChars="200"/>
        <w:jc w:val="left"/>
        <w:rPr>
          <w:rFonts w:ascii="宋体" w:hAnsi="宋体"/>
          <w:szCs w:val="21"/>
        </w:rPr>
      </w:pPr>
      <w:r>
        <w:rPr>
          <w:rFonts w:hint="eastAsia" w:ascii="宋体" w:hAnsi="宋体"/>
          <w:szCs w:val="21"/>
        </w:rPr>
        <w:t>18.1电子版响应性文件的递交截止时间见本须知前附表规定。</w:t>
      </w:r>
    </w:p>
    <w:p>
      <w:pPr>
        <w:adjustRightInd w:val="0"/>
        <w:snapToGrid w:val="0"/>
        <w:spacing w:line="480" w:lineRule="exact"/>
        <w:ind w:firstLine="420" w:firstLineChars="200"/>
        <w:jc w:val="left"/>
        <w:rPr>
          <w:rFonts w:ascii="宋体" w:hAnsi="宋体"/>
          <w:szCs w:val="21"/>
        </w:rPr>
      </w:pPr>
      <w:r>
        <w:rPr>
          <w:rFonts w:hint="eastAsia" w:ascii="宋体" w:hAnsi="宋体"/>
          <w:szCs w:val="21"/>
        </w:rPr>
        <w:t>18.2采购单位可按本须知规定以修改补充通知的方式，酌情延长提交响应性文件的截止时间。在此情况下，供应商的所有权利和义务以及供应商受制约的截止时间，均以延长后新的磋商响应文件递交截止时间为准。</w:t>
      </w:r>
    </w:p>
    <w:p>
      <w:pPr>
        <w:spacing w:line="480" w:lineRule="exact"/>
        <w:jc w:val="left"/>
        <w:rPr>
          <w:rFonts w:ascii="宋体" w:hAnsi="宋体"/>
          <w:szCs w:val="21"/>
        </w:rPr>
      </w:pPr>
      <w:r>
        <w:rPr>
          <w:rFonts w:hint="eastAsia" w:ascii="宋体" w:hAnsi="宋体"/>
          <w:szCs w:val="21"/>
        </w:rPr>
        <w:t>19迟交的响应性文件</w:t>
      </w:r>
    </w:p>
    <w:p>
      <w:pPr>
        <w:spacing w:line="480" w:lineRule="exact"/>
        <w:ind w:left="218" w:leftChars="104"/>
        <w:jc w:val="left"/>
        <w:rPr>
          <w:rFonts w:ascii="宋体" w:hAnsi="宋体"/>
          <w:szCs w:val="21"/>
        </w:rPr>
      </w:pPr>
      <w:r>
        <w:rPr>
          <w:rFonts w:hint="eastAsia" w:ascii="宋体" w:hAnsi="宋体"/>
          <w:szCs w:val="21"/>
        </w:rPr>
        <w:t>19.1采购单位在本须知规定的磋商响应文件递交截止时间以后收到的响应性文件，将被拒绝并退回给供应商。</w:t>
      </w:r>
    </w:p>
    <w:p>
      <w:pPr>
        <w:spacing w:line="480" w:lineRule="exact"/>
        <w:jc w:val="left"/>
        <w:rPr>
          <w:rFonts w:ascii="宋体" w:hAnsi="宋体"/>
          <w:szCs w:val="21"/>
        </w:rPr>
      </w:pPr>
      <w:r>
        <w:rPr>
          <w:rFonts w:hint="eastAsia" w:ascii="宋体" w:hAnsi="宋体"/>
          <w:szCs w:val="21"/>
        </w:rPr>
        <w:t>20响应性文件的补充、修改与撤回</w:t>
      </w:r>
    </w:p>
    <w:p>
      <w:pPr>
        <w:tabs>
          <w:tab w:val="left" w:pos="840"/>
        </w:tabs>
        <w:spacing w:line="480" w:lineRule="exact"/>
        <w:ind w:firstLine="210" w:firstLineChars="100"/>
        <w:jc w:val="left"/>
        <w:rPr>
          <w:rFonts w:ascii="宋体" w:hAnsi="宋体"/>
          <w:szCs w:val="21"/>
        </w:rPr>
      </w:pPr>
      <w:r>
        <w:rPr>
          <w:rFonts w:hint="eastAsia" w:ascii="宋体" w:hAnsi="宋体"/>
          <w:szCs w:val="21"/>
        </w:rPr>
        <w:t>20.1供应商在提交响应性文件以后，在规定的磋商响应文件递交截止时间之前，可以在电子交易系统中修改或撤回已提交的响应性文件。</w:t>
      </w:r>
    </w:p>
    <w:p>
      <w:pPr>
        <w:spacing w:line="480" w:lineRule="exact"/>
        <w:ind w:firstLine="210" w:firstLineChars="100"/>
        <w:jc w:val="left"/>
        <w:rPr>
          <w:rFonts w:ascii="宋体" w:hAnsi="宋体"/>
          <w:szCs w:val="21"/>
        </w:rPr>
      </w:pPr>
      <w:r>
        <w:rPr>
          <w:rFonts w:hint="eastAsia" w:ascii="宋体" w:hAnsi="宋体"/>
          <w:szCs w:val="21"/>
        </w:rPr>
        <w:t>20.3在磋商响应文件递交截止时间之后，供应商不得补充、修改响应性文件。</w:t>
      </w:r>
    </w:p>
    <w:p>
      <w:pPr>
        <w:pStyle w:val="5"/>
        <w:spacing w:before="0" w:after="0" w:line="480" w:lineRule="exact"/>
        <w:rPr>
          <w:rStyle w:val="22"/>
          <w:b w:val="0"/>
          <w:bCs w:val="0"/>
        </w:rPr>
      </w:pPr>
      <w:bookmarkStart w:id="165" w:name="_Toc20091"/>
      <w:bookmarkStart w:id="166" w:name="_Toc302"/>
      <w:bookmarkStart w:id="167" w:name="_Toc25549"/>
      <w:bookmarkStart w:id="168" w:name="_Toc31903"/>
      <w:bookmarkStart w:id="169" w:name="_Toc11979"/>
      <w:bookmarkStart w:id="170" w:name="_Toc6372"/>
      <w:bookmarkStart w:id="171" w:name="_Toc6734"/>
      <w:bookmarkStart w:id="172" w:name="_Toc24659"/>
      <w:bookmarkStart w:id="173" w:name="_Toc217235123"/>
      <w:bookmarkStart w:id="174" w:name="_Toc25311"/>
      <w:bookmarkStart w:id="175" w:name="_Toc418696226"/>
      <w:bookmarkStart w:id="176" w:name="_Toc18335"/>
      <w:bookmarkStart w:id="177" w:name="_Toc460517776"/>
      <w:bookmarkStart w:id="178" w:name="_Toc465325839"/>
      <w:bookmarkStart w:id="179" w:name="_Toc460517733"/>
      <w:bookmarkStart w:id="180" w:name="_Toc22263"/>
      <w:bookmarkStart w:id="181" w:name="_Toc30956"/>
      <w:bookmarkStart w:id="182" w:name="_Toc27254"/>
      <w:bookmarkStart w:id="183" w:name="_Toc18214"/>
      <w:bookmarkStart w:id="184" w:name="_Toc24879"/>
      <w:bookmarkStart w:id="185" w:name="_Toc29611"/>
      <w:r>
        <w:rPr>
          <w:rStyle w:val="22"/>
          <w:rFonts w:hint="eastAsia"/>
          <w:b w:val="0"/>
          <w:bCs w:val="0"/>
        </w:rPr>
        <w:t>（五）</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22"/>
          <w:rFonts w:hint="eastAsia"/>
          <w:b w:val="0"/>
          <w:bCs w:val="0"/>
        </w:rPr>
        <w:t>磋商</w:t>
      </w:r>
      <w:bookmarkEnd w:id="180"/>
      <w:bookmarkEnd w:id="181"/>
      <w:bookmarkEnd w:id="182"/>
      <w:bookmarkEnd w:id="183"/>
      <w:bookmarkEnd w:id="184"/>
      <w:bookmarkEnd w:id="185"/>
    </w:p>
    <w:p>
      <w:pPr>
        <w:spacing w:line="480" w:lineRule="exact"/>
        <w:rPr>
          <w:rFonts w:ascii="宋体" w:hAnsi="宋体" w:cs="宋体"/>
          <w:szCs w:val="21"/>
        </w:rPr>
      </w:pPr>
      <w:r>
        <w:rPr>
          <w:rFonts w:hint="eastAsia" w:ascii="宋体" w:hAnsi="宋体" w:cs="宋体"/>
          <w:szCs w:val="21"/>
        </w:rPr>
        <w:t>21.评审小组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评审小组由3人以上单数组成，其中采购人委托业主代表；确定磋商专家方式：竞争性磋商前在专家库中随机抽取。</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备注：上述规定为一组评审专家组成方式，根据项目标段数量和评标工作量，可由多组专家完成评审，但每个标段只能由一组专家评审。</w:t>
      </w:r>
    </w:p>
    <w:p>
      <w:pPr>
        <w:spacing w:line="480" w:lineRule="exact"/>
        <w:rPr>
          <w:rFonts w:ascii="宋体" w:hAnsi="宋体" w:cs="宋体"/>
          <w:szCs w:val="21"/>
        </w:rPr>
      </w:pPr>
      <w:r>
        <w:rPr>
          <w:rFonts w:hint="eastAsia" w:ascii="宋体" w:hAnsi="宋体" w:cs="宋体"/>
          <w:color w:val="000000"/>
          <w:szCs w:val="21"/>
        </w:rPr>
        <w:t>22.</w:t>
      </w:r>
      <w:r>
        <w:rPr>
          <w:rFonts w:hint="eastAsia" w:ascii="宋体" w:hAnsi="宋体" w:cs="宋体"/>
          <w:szCs w:val="21"/>
        </w:rPr>
        <w:t xml:space="preserve">响应性文件的有效性  </w:t>
      </w:r>
    </w:p>
    <w:p>
      <w:pPr>
        <w:spacing w:line="480" w:lineRule="exact"/>
        <w:ind w:firstLine="420" w:firstLineChars="200"/>
        <w:rPr>
          <w:rFonts w:ascii="宋体" w:hAnsi="宋体" w:cs="宋体"/>
          <w:szCs w:val="21"/>
        </w:rPr>
      </w:pPr>
      <w:r>
        <w:rPr>
          <w:rFonts w:hint="eastAsia" w:ascii="宋体" w:hAnsi="宋体" w:cs="宋体"/>
          <w:szCs w:val="21"/>
        </w:rPr>
        <w:t>22.1响应性文件有下列情形之一的为无效响应性文件，采购单位不予受理：</w:t>
      </w:r>
    </w:p>
    <w:p>
      <w:pPr>
        <w:spacing w:line="480" w:lineRule="exact"/>
        <w:ind w:firstLine="840" w:firstLineChars="400"/>
        <w:rPr>
          <w:rFonts w:ascii="宋体" w:hAnsi="宋体" w:cs="宋体"/>
          <w:szCs w:val="21"/>
        </w:rPr>
      </w:pPr>
      <w:r>
        <w:rPr>
          <w:rFonts w:hint="eastAsia" w:ascii="宋体" w:hAnsi="宋体" w:cs="宋体"/>
          <w:szCs w:val="21"/>
        </w:rPr>
        <w:t>22.1.1逾期未上传的；</w:t>
      </w:r>
    </w:p>
    <w:p>
      <w:pPr>
        <w:spacing w:line="480" w:lineRule="exact"/>
        <w:ind w:firstLine="840" w:firstLineChars="400"/>
        <w:rPr>
          <w:rFonts w:ascii="宋体" w:hAnsi="宋体" w:cs="宋体"/>
          <w:szCs w:val="21"/>
        </w:rPr>
      </w:pPr>
      <w:r>
        <w:rPr>
          <w:rFonts w:hint="eastAsia" w:ascii="宋体" w:hAnsi="宋体" w:cs="宋体"/>
          <w:szCs w:val="21"/>
        </w:rPr>
        <w:t>22.1.2提交合格的撤回通知的。</w:t>
      </w:r>
    </w:p>
    <w:p>
      <w:pPr>
        <w:spacing w:line="480" w:lineRule="exact"/>
        <w:rPr>
          <w:rFonts w:ascii="宋体" w:hAnsi="宋体" w:cs="宋体"/>
          <w:szCs w:val="21"/>
        </w:rPr>
      </w:pPr>
      <w:r>
        <w:rPr>
          <w:rFonts w:hint="eastAsia" w:ascii="宋体" w:hAnsi="宋体" w:cs="宋体"/>
          <w:szCs w:val="21"/>
        </w:rPr>
        <w:t>23.开始</w:t>
      </w:r>
    </w:p>
    <w:p>
      <w:pPr>
        <w:spacing w:line="480" w:lineRule="exact"/>
        <w:ind w:firstLine="420" w:firstLineChars="200"/>
        <w:jc w:val="left"/>
        <w:rPr>
          <w:rFonts w:ascii="宋体" w:hAnsi="宋体" w:cs="宋体"/>
          <w:szCs w:val="21"/>
        </w:rPr>
      </w:pPr>
      <w:r>
        <w:rPr>
          <w:rFonts w:hint="eastAsia" w:ascii="宋体" w:hAnsi="宋体" w:cs="宋体"/>
          <w:szCs w:val="21"/>
        </w:rPr>
        <w:t>23.1采购单位按本须知前附表所规定的时间和地点进行磋商，并邀请所有供应商参加。所有供应商代表出席开标会议：供应商法定代表人携带本人身份证或授权代表携带法定代表人授权委托书、身份证及CA密钥、未加密的电子磋商响应文件参加磋商并签到。</w:t>
      </w:r>
    </w:p>
    <w:p>
      <w:pPr>
        <w:spacing w:line="480" w:lineRule="exact"/>
        <w:ind w:firstLine="420" w:firstLineChars="200"/>
        <w:jc w:val="left"/>
        <w:rPr>
          <w:rFonts w:ascii="宋体" w:hAnsi="宋体" w:cs="宋体"/>
          <w:szCs w:val="21"/>
        </w:rPr>
      </w:pPr>
      <w:r>
        <w:rPr>
          <w:rFonts w:hint="eastAsia" w:ascii="宋体" w:hAnsi="宋体" w:cs="宋体"/>
          <w:szCs w:val="21"/>
        </w:rPr>
        <w:t>23.2送评审小组进行将有效响应性文件进行评审、比较。</w:t>
      </w:r>
    </w:p>
    <w:p>
      <w:pPr>
        <w:spacing w:line="480" w:lineRule="exact"/>
        <w:rPr>
          <w:rFonts w:ascii="宋体" w:hAnsi="宋体" w:cs="宋体"/>
          <w:szCs w:val="21"/>
        </w:rPr>
      </w:pPr>
      <w:r>
        <w:rPr>
          <w:rFonts w:hint="eastAsia" w:ascii="宋体" w:hAnsi="宋体" w:cs="宋体"/>
          <w:szCs w:val="21"/>
        </w:rPr>
        <w:t>24.磋商程序：</w:t>
      </w:r>
    </w:p>
    <w:p>
      <w:pPr>
        <w:spacing w:line="480" w:lineRule="exact"/>
        <w:ind w:firstLine="420" w:firstLineChars="200"/>
        <w:rPr>
          <w:rFonts w:ascii="宋体" w:hAnsi="宋体" w:cs="宋体"/>
          <w:szCs w:val="21"/>
        </w:rPr>
      </w:pPr>
      <w:r>
        <w:rPr>
          <w:rFonts w:hint="eastAsia" w:ascii="宋体" w:hAnsi="宋体" w:cs="宋体"/>
          <w:szCs w:val="21"/>
        </w:rPr>
        <w:t>24.1磋商由采购代理机构主持；</w:t>
      </w:r>
    </w:p>
    <w:p>
      <w:pPr>
        <w:spacing w:line="480" w:lineRule="exact"/>
        <w:ind w:firstLine="420" w:firstLineChars="200"/>
        <w:rPr>
          <w:rFonts w:ascii="宋体" w:hAnsi="宋体" w:cs="宋体"/>
          <w:szCs w:val="21"/>
        </w:rPr>
      </w:pPr>
      <w:r>
        <w:rPr>
          <w:rFonts w:hint="eastAsia" w:ascii="宋体" w:hAnsi="宋体" w:cs="宋体"/>
          <w:szCs w:val="21"/>
        </w:rPr>
        <w:t>24.2 各供应商在代理机构主持下进行文件解密；</w:t>
      </w:r>
    </w:p>
    <w:p>
      <w:pPr>
        <w:spacing w:line="480" w:lineRule="exact"/>
        <w:ind w:firstLine="420" w:firstLineChars="200"/>
        <w:rPr>
          <w:rFonts w:ascii="宋体" w:hAnsi="宋体" w:cs="宋体"/>
          <w:szCs w:val="21"/>
        </w:rPr>
      </w:pPr>
      <w:r>
        <w:rPr>
          <w:rFonts w:hint="eastAsia" w:ascii="宋体" w:hAnsi="宋体" w:cs="宋体"/>
          <w:szCs w:val="21"/>
        </w:rPr>
        <w:t>24.3</w:t>
      </w:r>
      <w:r>
        <w:rPr>
          <w:rFonts w:hint="eastAsia" w:ascii="宋体" w:hAnsi="宋体"/>
          <w:szCs w:val="21"/>
        </w:rPr>
        <w:t>评审小组</w:t>
      </w:r>
      <w:r>
        <w:rPr>
          <w:rFonts w:hint="eastAsia" w:ascii="宋体" w:hAnsi="宋体" w:cs="宋体"/>
          <w:kern w:val="0"/>
          <w:szCs w:val="21"/>
        </w:rPr>
        <w:t>对磋商文件进行熟悉确认，</w:t>
      </w:r>
      <w:r>
        <w:rPr>
          <w:rFonts w:hint="eastAsia" w:ascii="宋体" w:hAnsi="宋体"/>
          <w:szCs w:val="21"/>
        </w:rPr>
        <w:t>评审小组</w:t>
      </w:r>
      <w:r>
        <w:rPr>
          <w:rFonts w:hint="eastAsia" w:ascii="宋体" w:hAnsi="宋体" w:cs="宋体"/>
          <w:kern w:val="0"/>
          <w:szCs w:val="21"/>
        </w:rPr>
        <w:t>推选组长，讨论、通过磋商工作流程和磋商要点；</w:t>
      </w:r>
      <w:r>
        <w:rPr>
          <w:rFonts w:hint="eastAsia" w:ascii="宋体" w:hAnsi="宋体"/>
          <w:szCs w:val="21"/>
        </w:rPr>
        <w:t>由评审小组按照磋商文件评审办法的初步评审对供应商进行审查，有一项不符合评审标准的，作无效标处理；</w:t>
      </w:r>
    </w:p>
    <w:p>
      <w:pPr>
        <w:spacing w:line="480" w:lineRule="exact"/>
        <w:ind w:firstLine="420" w:firstLineChars="200"/>
        <w:rPr>
          <w:rFonts w:ascii="宋体" w:hAnsi="宋体"/>
          <w:szCs w:val="21"/>
        </w:rPr>
      </w:pPr>
      <w:r>
        <w:rPr>
          <w:rFonts w:hint="eastAsia" w:ascii="宋体" w:hAnsi="宋体" w:cs="宋体"/>
          <w:szCs w:val="21"/>
        </w:rPr>
        <w:t>24.4</w:t>
      </w:r>
      <w:r>
        <w:rPr>
          <w:rFonts w:hint="eastAsia" w:ascii="宋体" w:hAnsi="宋体" w:cs="宋体"/>
          <w:kern w:val="0"/>
          <w:szCs w:val="21"/>
        </w:rPr>
        <w:t>评审小组对通过</w:t>
      </w:r>
      <w:r>
        <w:rPr>
          <w:rFonts w:hint="eastAsia" w:ascii="宋体" w:hAnsi="宋体"/>
          <w:szCs w:val="21"/>
        </w:rPr>
        <w:t>初步评审</w:t>
      </w:r>
      <w:r>
        <w:rPr>
          <w:rFonts w:hint="eastAsia" w:ascii="宋体" w:hAnsi="宋体" w:cs="宋体"/>
          <w:kern w:val="0"/>
          <w:szCs w:val="21"/>
        </w:rPr>
        <w:t>的响应文件进行评估，确定与各竞标人磋商的</w:t>
      </w:r>
      <w:r>
        <w:rPr>
          <w:rFonts w:hint="eastAsia" w:ascii="宋体" w:hAnsi="宋体"/>
          <w:szCs w:val="21"/>
        </w:rPr>
        <w:t>具体内容。</w:t>
      </w:r>
    </w:p>
    <w:p>
      <w:pPr>
        <w:spacing w:line="480" w:lineRule="exact"/>
        <w:ind w:firstLine="420" w:firstLineChars="200"/>
        <w:rPr>
          <w:rFonts w:ascii="宋体" w:hAnsi="宋体" w:cs="宋体"/>
          <w:color w:val="000000"/>
          <w:szCs w:val="21"/>
        </w:rPr>
      </w:pPr>
      <w:r>
        <w:rPr>
          <w:rFonts w:hint="eastAsia" w:ascii="宋体" w:hAnsi="宋体" w:cs="宋体"/>
          <w:bCs/>
          <w:color w:val="000000"/>
          <w:szCs w:val="21"/>
        </w:rPr>
        <w:t>2</w:t>
      </w:r>
      <w:r>
        <w:rPr>
          <w:rFonts w:hint="eastAsia" w:ascii="宋体" w:hAnsi="宋体" w:cs="宋体"/>
          <w:color w:val="000000"/>
          <w:szCs w:val="21"/>
        </w:rPr>
        <w:t>4.5</w:t>
      </w:r>
      <w:r>
        <w:rPr>
          <w:rFonts w:hint="eastAsia" w:ascii="宋体" w:hAnsi="宋体"/>
          <w:szCs w:val="21"/>
        </w:rPr>
        <w:t>围绕磋商要点，评审小组将分别与通过初步审查的供应商单独分别进行磋商。磋商双方可以就磋商项目所涉价格、工期等进行实质性磋商，但磋商的任何一方不得透露与磋商有关的其他供应商的资料、价格和其他信息。</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24.6</w:t>
      </w:r>
      <w:r>
        <w:rPr>
          <w:rFonts w:hint="eastAsia" w:ascii="宋体" w:hAnsi="宋体"/>
          <w:szCs w:val="21"/>
        </w:rPr>
        <w:t>评审小组对资格等方面符合要求的申请人进行不低于</w:t>
      </w:r>
      <w:r>
        <w:rPr>
          <w:rFonts w:hint="eastAsia" w:ascii="宋体" w:hAnsi="宋体"/>
          <w:b/>
          <w:bCs/>
          <w:szCs w:val="21"/>
        </w:rPr>
        <w:t xml:space="preserve"> </w:t>
      </w:r>
      <w:r>
        <w:rPr>
          <w:rFonts w:hint="eastAsia" w:ascii="宋体" w:hAnsi="宋体"/>
          <w:b/>
          <w:bCs/>
          <w:szCs w:val="21"/>
          <w:u w:val="single"/>
        </w:rPr>
        <w:t xml:space="preserve">2 </w:t>
      </w:r>
      <w:r>
        <w:rPr>
          <w:rFonts w:hint="eastAsia" w:ascii="宋体" w:hAnsi="宋体"/>
          <w:szCs w:val="21"/>
        </w:rPr>
        <w:t>轮报价</w:t>
      </w:r>
      <w:r>
        <w:rPr>
          <w:rFonts w:hint="eastAsia" w:ascii="宋体" w:hAnsi="宋体" w:cs="宋体"/>
          <w:color w:val="000000"/>
          <w:szCs w:val="21"/>
        </w:rPr>
        <w:t>；</w:t>
      </w:r>
    </w:p>
    <w:p>
      <w:pPr>
        <w:spacing w:line="480" w:lineRule="exact"/>
        <w:ind w:firstLine="420" w:firstLineChars="200"/>
        <w:rPr>
          <w:rFonts w:ascii="宋体" w:hAnsi="宋体" w:cs="宋体"/>
          <w:szCs w:val="21"/>
        </w:rPr>
      </w:pPr>
      <w:r>
        <w:rPr>
          <w:rFonts w:hint="eastAsia" w:ascii="宋体" w:hAnsi="宋体" w:cs="宋体"/>
          <w:color w:val="000000"/>
          <w:szCs w:val="21"/>
        </w:rPr>
        <w:t>24.7</w:t>
      </w:r>
      <w:r>
        <w:rPr>
          <w:rFonts w:hint="eastAsia" w:ascii="宋体" w:hAnsi="宋体"/>
          <w:szCs w:val="21"/>
        </w:rPr>
        <w:t>磋商过程中，评审小组可以根据磋商情况实质性变动采购需求中的技术、服务要求以及合同草案条款，但不得变动磋商文件中的其他内容。实质性变动的内容需经采购人(业主)代表确认。并通知所有参加磋商的申请人，该变动是磋商文件的有效组成部分。供应商应当按照磋商文件的变动情况和评审小组的要求重新提交响应文件并由其法定代表人或其授权代表签字或者加盖公章。由授权代表签字的应当附法定代表人授权书。申请人为自然人的应当由本人签字并附身份证。供应商应根据评审小组的要求，以在规定时间内做出响应，未做出响应的响应文件将被视为无效竞标</w:t>
      </w:r>
      <w:r>
        <w:rPr>
          <w:rFonts w:hint="eastAsia" w:ascii="宋体" w:hAnsi="宋体" w:cs="宋体"/>
          <w:szCs w:val="21"/>
        </w:rPr>
        <w:t>；</w:t>
      </w:r>
    </w:p>
    <w:p>
      <w:pPr>
        <w:spacing w:line="480" w:lineRule="exact"/>
        <w:ind w:firstLine="420" w:firstLineChars="200"/>
        <w:rPr>
          <w:rFonts w:ascii="宋体" w:hAnsi="宋体"/>
          <w:szCs w:val="21"/>
        </w:rPr>
      </w:pPr>
      <w:r>
        <w:rPr>
          <w:rFonts w:hint="eastAsia" w:ascii="宋体" w:hAnsi="宋体" w:cs="宋体"/>
          <w:szCs w:val="21"/>
        </w:rPr>
        <w:t>24.8</w:t>
      </w:r>
      <w:r>
        <w:rPr>
          <w:rFonts w:hint="eastAsia" w:ascii="宋体" w:hAnsi="宋体"/>
          <w:szCs w:val="21"/>
        </w:rPr>
        <w:t>经磋商确定最终采购需求，由评审小组采用综合评分法对通过初步评审和提交最后报价的申请人的响应文件进行综合评分。</w:t>
      </w:r>
    </w:p>
    <w:p>
      <w:pPr>
        <w:spacing w:line="480" w:lineRule="exact"/>
        <w:ind w:firstLine="420" w:firstLineChars="200"/>
        <w:rPr>
          <w:rFonts w:ascii="宋体" w:hAnsi="宋体" w:cs="宋体"/>
          <w:szCs w:val="21"/>
        </w:rPr>
      </w:pPr>
      <w:r>
        <w:rPr>
          <w:rFonts w:hint="eastAsia" w:ascii="宋体" w:hAnsi="宋体"/>
          <w:szCs w:val="21"/>
        </w:rPr>
        <w:t>24.9在磋商过程中，凡遇到磋商文件中无界定或界定不清、前后不一致使评审小组意见有分歧且又难于协商一致的问题，均由评审小组予以表决，获半数以上同意的即为通过，未获半数同意的即为否决。</w:t>
      </w:r>
    </w:p>
    <w:p>
      <w:pPr>
        <w:spacing w:line="480" w:lineRule="exact"/>
        <w:ind w:firstLine="420" w:firstLineChars="200"/>
        <w:rPr>
          <w:rFonts w:ascii="宋体" w:hAnsi="宋体" w:cs="宋体"/>
          <w:bCs/>
          <w:szCs w:val="21"/>
        </w:rPr>
      </w:pPr>
      <w:r>
        <w:rPr>
          <w:rFonts w:hint="eastAsia" w:ascii="宋体" w:hAnsi="宋体" w:cs="宋体"/>
          <w:bCs/>
          <w:szCs w:val="21"/>
        </w:rPr>
        <w:t>24.10成交人的确定：</w:t>
      </w:r>
      <w:r>
        <w:rPr>
          <w:rFonts w:hint="eastAsia" w:ascii="宋体" w:hAnsi="宋体"/>
          <w:szCs w:val="21"/>
        </w:rPr>
        <w:t>评审小组应当根据综合评分情况，按照评审得分由高到低顺序推荐3名以上成交候选供应商，</w:t>
      </w:r>
      <w:r>
        <w:rPr>
          <w:rFonts w:hint="eastAsia"/>
        </w:rPr>
        <w:t>并编写评审报告</w:t>
      </w:r>
      <w:r>
        <w:rPr>
          <w:rFonts w:hint="eastAsia" w:ascii="宋体" w:hAnsi="宋体"/>
          <w:szCs w:val="21"/>
        </w:rPr>
        <w:t>。</w:t>
      </w:r>
      <w:r>
        <w:rPr>
          <w:rFonts w:hint="eastAsia"/>
        </w:rPr>
        <w:t>评审得分相同的，按照最后报价由低到高的顺序推荐。评审得分且最后报价相同的，按照技术指标优劣顺序推荐。</w:t>
      </w:r>
    </w:p>
    <w:p>
      <w:pPr>
        <w:spacing w:line="480" w:lineRule="exact"/>
        <w:rPr>
          <w:rFonts w:ascii="宋体" w:hAnsi="宋体" w:cs="宋体"/>
          <w:szCs w:val="21"/>
        </w:rPr>
      </w:pPr>
      <w:r>
        <w:rPr>
          <w:rFonts w:hint="eastAsia" w:ascii="宋体" w:hAnsi="宋体" w:cs="宋体"/>
          <w:szCs w:val="21"/>
        </w:rPr>
        <w:t>25.竞争性磋商响应性文件的澄清</w:t>
      </w:r>
    </w:p>
    <w:p>
      <w:pPr>
        <w:spacing w:line="480" w:lineRule="exact"/>
        <w:ind w:firstLine="420" w:firstLineChars="200"/>
        <w:rPr>
          <w:rFonts w:ascii="宋体" w:hAnsi="宋体" w:cs="宋体"/>
          <w:szCs w:val="21"/>
        </w:rPr>
      </w:pPr>
      <w:r>
        <w:rPr>
          <w:rFonts w:hint="eastAsia" w:ascii="宋体" w:hAnsi="宋体" w:cs="宋体"/>
          <w:szCs w:val="21"/>
        </w:rPr>
        <w:t>为便于对竞争性磋商响应性文件的审查、评价和比较，评审小组可分别要求供应商对竞争性磋商响应性文件中含义不清的内容进行澄清。有关澄清的要求和答复均须在电子交易体统中进行，但磋商价格和实质性的内容不得更改。</w:t>
      </w:r>
    </w:p>
    <w:p>
      <w:pPr>
        <w:spacing w:line="480" w:lineRule="exact"/>
        <w:rPr>
          <w:rFonts w:ascii="宋体" w:hAnsi="宋体" w:cs="宋体"/>
          <w:szCs w:val="21"/>
        </w:rPr>
      </w:pPr>
      <w:r>
        <w:rPr>
          <w:rFonts w:hint="eastAsia" w:ascii="宋体" w:hAnsi="宋体" w:cs="宋体"/>
          <w:szCs w:val="21"/>
        </w:rPr>
        <w:t>26.磋商过程的保密</w:t>
      </w:r>
    </w:p>
    <w:p>
      <w:pPr>
        <w:spacing w:line="480" w:lineRule="exact"/>
        <w:ind w:firstLine="420" w:firstLineChars="200"/>
        <w:rPr>
          <w:rFonts w:ascii="宋体" w:hAnsi="宋体" w:cs="宋体"/>
          <w:szCs w:val="21"/>
        </w:rPr>
      </w:pPr>
      <w:r>
        <w:rPr>
          <w:rFonts w:hint="eastAsia" w:ascii="宋体" w:hAnsi="宋体" w:cs="宋体"/>
          <w:szCs w:val="21"/>
        </w:rPr>
        <w:t>26.1成交后，直到授予成交人成交通知书止，凡属于对响应性文件的审查、澄清、评价和比较有关的资料，成交候选人的推荐情况及其他任何与磋商过程有关的情况均应严格保密。</w:t>
      </w:r>
    </w:p>
    <w:p>
      <w:pPr>
        <w:spacing w:line="480" w:lineRule="exact"/>
        <w:ind w:firstLine="420" w:firstLineChars="200"/>
        <w:rPr>
          <w:rFonts w:ascii="宋体" w:hAnsi="宋体" w:cs="宋体"/>
          <w:szCs w:val="21"/>
        </w:rPr>
      </w:pPr>
      <w:r>
        <w:rPr>
          <w:rFonts w:hint="eastAsia" w:ascii="宋体" w:hAnsi="宋体" w:cs="宋体"/>
          <w:szCs w:val="21"/>
        </w:rPr>
        <w:t>26.2在响应性文件的评审和比较、成交候选人推荐以及授予合同的过程中，供应商向采购单位和评审小组施加影响的任何行为，都将会导致其磋商被拒绝。</w:t>
      </w:r>
    </w:p>
    <w:p>
      <w:pPr>
        <w:spacing w:line="480" w:lineRule="exact"/>
        <w:ind w:firstLine="420" w:firstLineChars="200"/>
        <w:rPr>
          <w:rFonts w:ascii="宋体" w:hAnsi="宋体" w:cs="宋体"/>
          <w:szCs w:val="21"/>
        </w:rPr>
      </w:pPr>
      <w:r>
        <w:rPr>
          <w:rFonts w:hint="eastAsia" w:ascii="宋体" w:hAnsi="宋体" w:cs="宋体"/>
          <w:szCs w:val="21"/>
        </w:rPr>
        <w:t>26.3成交人确定后，采购单位不对未成交人就磋商过程以及未能成交原因作出任何解释。未成交人不得向评审小组组成人员或其他有关人员索问磋商过程的情况和材料。</w:t>
      </w:r>
    </w:p>
    <w:p>
      <w:pPr>
        <w:spacing w:line="480" w:lineRule="exact"/>
        <w:rPr>
          <w:rFonts w:ascii="宋体" w:hAnsi="宋体" w:cs="宋体"/>
          <w:szCs w:val="21"/>
        </w:rPr>
      </w:pPr>
      <w:r>
        <w:rPr>
          <w:rFonts w:hint="eastAsia" w:ascii="宋体" w:hAnsi="宋体" w:cs="宋体"/>
          <w:szCs w:val="21"/>
        </w:rPr>
        <w:t>27.响应性文件的澄清</w:t>
      </w:r>
    </w:p>
    <w:p>
      <w:pPr>
        <w:spacing w:line="480" w:lineRule="exact"/>
        <w:ind w:firstLine="210" w:firstLineChars="100"/>
        <w:rPr>
          <w:rFonts w:ascii="宋体" w:hAnsi="宋体" w:cs="宋体"/>
          <w:szCs w:val="21"/>
        </w:rPr>
      </w:pPr>
      <w:r>
        <w:rPr>
          <w:rFonts w:hint="eastAsia" w:ascii="宋体" w:hAnsi="宋体" w:cs="宋体"/>
          <w:szCs w:val="21"/>
        </w:rPr>
        <w:t>27.1为有助于响应性文件的审查、评价和比较，评审小组可以在电子交易系统中要求供应商对响应性文件含义不明确的内容作必要的澄清或说明，供应商应对此进行澄清或说明，但不得超出响应性文件的范围或改变响应性文件的实质性内容。</w:t>
      </w:r>
    </w:p>
    <w:p>
      <w:pPr>
        <w:spacing w:line="480" w:lineRule="exact"/>
        <w:ind w:firstLine="210" w:firstLineChars="100"/>
        <w:rPr>
          <w:rFonts w:ascii="宋体" w:hAnsi="宋体" w:cs="宋体"/>
          <w:szCs w:val="21"/>
        </w:rPr>
      </w:pPr>
      <w:r>
        <w:rPr>
          <w:rFonts w:hint="eastAsia" w:ascii="宋体" w:hAnsi="宋体" w:cs="宋体"/>
          <w:szCs w:val="21"/>
        </w:rPr>
        <w:t>27.2供应商的澄清文件是响应性文件的组成部分，取代响应性文件中被澄清的部分。</w:t>
      </w:r>
    </w:p>
    <w:p>
      <w:pPr>
        <w:spacing w:line="480" w:lineRule="exact"/>
        <w:rPr>
          <w:rFonts w:ascii="宋体" w:hAnsi="宋体" w:cs="宋体"/>
          <w:szCs w:val="21"/>
        </w:rPr>
      </w:pPr>
      <w:r>
        <w:rPr>
          <w:rFonts w:hint="eastAsia" w:ascii="宋体" w:hAnsi="宋体" w:cs="宋体"/>
          <w:szCs w:val="21"/>
        </w:rPr>
        <w:t>28.响应性文件的初步评审</w:t>
      </w:r>
    </w:p>
    <w:p>
      <w:pPr>
        <w:spacing w:line="480" w:lineRule="exact"/>
        <w:ind w:firstLine="210" w:firstLineChars="100"/>
        <w:rPr>
          <w:rFonts w:ascii="宋体" w:hAnsi="宋体" w:cs="宋体"/>
          <w:szCs w:val="21"/>
        </w:rPr>
      </w:pPr>
      <w:r>
        <w:rPr>
          <w:rFonts w:hint="eastAsia" w:ascii="宋体" w:hAnsi="宋体" w:cs="宋体"/>
          <w:szCs w:val="21"/>
        </w:rPr>
        <w:t>28.1磋商时，经采购人审查符合本须知有关规定的有效的响应性文件，才能提交评审小组进行评审。</w:t>
      </w:r>
    </w:p>
    <w:p>
      <w:pPr>
        <w:spacing w:line="480" w:lineRule="exact"/>
        <w:ind w:firstLine="210" w:firstLineChars="100"/>
        <w:rPr>
          <w:rFonts w:ascii="宋体" w:hAnsi="宋体"/>
          <w:szCs w:val="21"/>
        </w:rPr>
      </w:pPr>
      <w:r>
        <w:rPr>
          <w:rFonts w:hint="eastAsia" w:ascii="宋体" w:hAnsi="宋体" w:cs="宋体"/>
          <w:szCs w:val="21"/>
        </w:rPr>
        <w:t>28.2初步评审分为</w:t>
      </w:r>
      <w:r>
        <w:rPr>
          <w:rFonts w:hint="eastAsia" w:ascii="宋体" w:hAnsi="宋体"/>
          <w:szCs w:val="21"/>
        </w:rPr>
        <w:t>形式性评审、资格性审查和响应性审查</w:t>
      </w:r>
      <w:r>
        <w:rPr>
          <w:rFonts w:hint="eastAsia" w:ascii="宋体" w:hAnsi="宋体" w:cs="宋体"/>
          <w:szCs w:val="21"/>
        </w:rPr>
        <w:t>。</w:t>
      </w:r>
      <w:r>
        <w:rPr>
          <w:rFonts w:hint="eastAsia" w:ascii="宋体" w:hAnsi="宋体"/>
          <w:szCs w:val="21"/>
        </w:rPr>
        <w:t>详见第三章评审办法前附表。</w:t>
      </w:r>
    </w:p>
    <w:p>
      <w:pPr>
        <w:spacing w:line="480" w:lineRule="exact"/>
        <w:ind w:firstLine="210" w:firstLineChars="100"/>
        <w:jc w:val="left"/>
        <w:rPr>
          <w:rFonts w:ascii="宋体" w:hAnsi="宋体" w:cs="宋体"/>
          <w:szCs w:val="21"/>
        </w:rPr>
      </w:pPr>
      <w:r>
        <w:rPr>
          <w:rFonts w:hint="eastAsia" w:ascii="宋体" w:hAnsi="宋体" w:cs="宋体"/>
          <w:szCs w:val="21"/>
        </w:rPr>
        <w:t>28.3评审小组将首先对每份响应性文件进行</w:t>
      </w:r>
      <w:r>
        <w:rPr>
          <w:rFonts w:hint="eastAsia" w:ascii="宋体" w:hAnsi="宋体"/>
          <w:szCs w:val="21"/>
        </w:rPr>
        <w:t>初步评审</w:t>
      </w:r>
      <w:r>
        <w:rPr>
          <w:rFonts w:hint="eastAsia" w:ascii="宋体" w:hAnsi="宋体" w:cs="宋体"/>
          <w:szCs w:val="21"/>
        </w:rPr>
        <w:t>，如果响应性文件没有通过</w:t>
      </w:r>
      <w:r>
        <w:rPr>
          <w:rFonts w:hint="eastAsia" w:ascii="宋体" w:hAnsi="宋体"/>
          <w:szCs w:val="21"/>
        </w:rPr>
        <w:t>初步评审</w:t>
      </w:r>
      <w:r>
        <w:rPr>
          <w:rFonts w:hint="eastAsia" w:ascii="宋体" w:hAnsi="宋体" w:cs="宋体"/>
          <w:szCs w:val="21"/>
        </w:rPr>
        <w:t>，评审小组将予以拒绝，并且不允许供应商通过修改或撤销其不符合要求的差异或保留，使之成为具有响应性的磋商。</w:t>
      </w:r>
    </w:p>
    <w:p>
      <w:pPr>
        <w:spacing w:line="480" w:lineRule="exact"/>
        <w:jc w:val="left"/>
        <w:rPr>
          <w:rFonts w:ascii="宋体" w:hAnsi="宋体" w:cs="宋体"/>
          <w:szCs w:val="21"/>
        </w:rPr>
      </w:pPr>
      <w:r>
        <w:rPr>
          <w:rFonts w:hint="eastAsia" w:ascii="宋体" w:hAnsi="宋体" w:cs="宋体"/>
          <w:szCs w:val="21"/>
        </w:rPr>
        <w:t>29.响应性文件计算错误的修正</w:t>
      </w:r>
    </w:p>
    <w:p>
      <w:pPr>
        <w:spacing w:line="480" w:lineRule="exact"/>
        <w:ind w:firstLine="420" w:firstLineChars="200"/>
        <w:rPr>
          <w:rFonts w:ascii="宋体" w:hAnsi="宋体" w:cs="宋体"/>
          <w:szCs w:val="21"/>
        </w:rPr>
      </w:pPr>
      <w:r>
        <w:rPr>
          <w:rFonts w:hint="eastAsia" w:ascii="宋体" w:hAnsi="宋体" w:cs="宋体"/>
          <w:szCs w:val="21"/>
        </w:rPr>
        <w:t>29.1评审小组将对确定为实质上响应竞争性磋商文件要求的响应性文件进行校核，看其是否有计算或表达上的错误，修正错误的原则如下：</w:t>
      </w:r>
    </w:p>
    <w:p>
      <w:pPr>
        <w:spacing w:line="480" w:lineRule="exact"/>
        <w:ind w:firstLine="420" w:firstLineChars="200"/>
        <w:rPr>
          <w:rFonts w:ascii="宋体" w:hAnsi="宋体" w:cs="宋体"/>
          <w:szCs w:val="21"/>
        </w:rPr>
      </w:pPr>
      <w:r>
        <w:rPr>
          <w:rFonts w:hint="eastAsia" w:ascii="宋体" w:hAnsi="宋体" w:cs="宋体"/>
          <w:szCs w:val="21"/>
        </w:rPr>
        <w:t>29.1.1响应性文件中的大写金额和小写金额不一致的，以大写金额为准；</w:t>
      </w:r>
    </w:p>
    <w:p>
      <w:pPr>
        <w:spacing w:line="480" w:lineRule="exact"/>
        <w:ind w:firstLine="420" w:firstLineChars="200"/>
        <w:rPr>
          <w:rFonts w:ascii="宋体" w:hAnsi="宋体" w:cs="宋体"/>
          <w:szCs w:val="21"/>
        </w:rPr>
      </w:pPr>
      <w:r>
        <w:rPr>
          <w:rFonts w:hint="eastAsia" w:ascii="宋体" w:hAnsi="宋体" w:cs="宋体"/>
          <w:szCs w:val="21"/>
        </w:rPr>
        <w:t>29.1.2总价金额与单价金额不一致的，以单价金额为准，但单价金额小数点有明显错误的除外；</w:t>
      </w:r>
    </w:p>
    <w:p>
      <w:pPr>
        <w:spacing w:line="480" w:lineRule="exact"/>
        <w:ind w:firstLine="420" w:firstLineChars="200"/>
        <w:rPr>
          <w:rFonts w:ascii="宋体" w:hAnsi="宋体" w:cs="宋体"/>
          <w:szCs w:val="21"/>
        </w:rPr>
      </w:pPr>
      <w:r>
        <w:rPr>
          <w:rFonts w:hint="eastAsia" w:ascii="宋体" w:hAnsi="宋体" w:cs="宋体"/>
          <w:szCs w:val="21"/>
        </w:rPr>
        <w:t>29.1.3对不同文字文本响应性文件的解释发生异议的，以中文文本为准。</w:t>
      </w:r>
    </w:p>
    <w:p>
      <w:pPr>
        <w:spacing w:line="480" w:lineRule="exact"/>
        <w:ind w:firstLine="420" w:firstLineChars="200"/>
        <w:rPr>
          <w:rFonts w:ascii="宋体" w:hAnsi="宋体" w:cs="宋体"/>
          <w:szCs w:val="21"/>
        </w:rPr>
      </w:pPr>
      <w:r>
        <w:rPr>
          <w:rFonts w:hint="eastAsia" w:ascii="宋体" w:hAnsi="宋体" w:cs="宋体"/>
          <w:szCs w:val="21"/>
        </w:rPr>
        <w:t>29.2按上述修正错误的原则及方法调整或修正响应性文件的磋商报价，供应商同意后，调整后的磋商报价对供应商起约束作用。如果供应商不接受修正后的报价，则其磋商将被拒绝并且其磋商担保也将被没收，并不影响磋商工作。</w:t>
      </w:r>
    </w:p>
    <w:p>
      <w:pPr>
        <w:pStyle w:val="5"/>
        <w:spacing w:before="0" w:after="0" w:line="480" w:lineRule="exact"/>
        <w:rPr>
          <w:rStyle w:val="22"/>
          <w:b w:val="0"/>
          <w:bCs w:val="0"/>
        </w:rPr>
      </w:pPr>
      <w:bookmarkStart w:id="186" w:name="_Toc14468"/>
      <w:bookmarkStart w:id="187" w:name="_Toc25064"/>
      <w:bookmarkStart w:id="188" w:name="_Toc10468"/>
      <w:bookmarkStart w:id="189" w:name="_Toc20787"/>
      <w:bookmarkStart w:id="190" w:name="_Toc460517777"/>
      <w:bookmarkStart w:id="191" w:name="_Toc418696227"/>
      <w:bookmarkStart w:id="192" w:name="_Toc460517734"/>
      <w:bookmarkStart w:id="193" w:name="_Toc3959"/>
      <w:bookmarkStart w:id="194" w:name="_Toc465325840"/>
      <w:bookmarkStart w:id="195" w:name="_Toc10456"/>
      <w:bookmarkStart w:id="196" w:name="_Toc1276"/>
      <w:bookmarkStart w:id="197" w:name="_Toc19695"/>
      <w:bookmarkStart w:id="198" w:name="_Toc15622"/>
      <w:bookmarkStart w:id="199" w:name="_Toc29313"/>
      <w:bookmarkStart w:id="200" w:name="_Toc17923"/>
      <w:bookmarkStart w:id="201" w:name="_Toc5002"/>
      <w:bookmarkStart w:id="202" w:name="_Toc1375"/>
      <w:bookmarkStart w:id="203" w:name="_Toc1620"/>
      <w:bookmarkStart w:id="204" w:name="_Toc23325"/>
      <w:bookmarkStart w:id="205" w:name="_Toc21756"/>
      <w:r>
        <w:rPr>
          <w:rStyle w:val="22"/>
          <w:rFonts w:hint="eastAsia"/>
          <w:b w:val="0"/>
          <w:bCs w:val="0"/>
        </w:rPr>
        <w:t>（六）合同的授予</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rPr>
          <w:rFonts w:ascii="宋体" w:hAnsi="宋体"/>
          <w:szCs w:val="21"/>
        </w:rPr>
      </w:pPr>
      <w:r>
        <w:rPr>
          <w:rFonts w:hint="eastAsia" w:ascii="宋体" w:hAnsi="宋体"/>
          <w:szCs w:val="21"/>
        </w:rPr>
        <w:t>31.合同授予标准</w:t>
      </w:r>
    </w:p>
    <w:p>
      <w:pPr>
        <w:spacing w:line="360" w:lineRule="auto"/>
        <w:ind w:firstLine="210" w:firstLineChars="100"/>
        <w:rPr>
          <w:rFonts w:ascii="宋体" w:hAnsi="宋体"/>
          <w:spacing w:val="-6"/>
          <w:szCs w:val="21"/>
        </w:rPr>
      </w:pPr>
      <w:r>
        <w:rPr>
          <w:rFonts w:hint="eastAsia" w:ascii="宋体" w:hAnsi="宋体"/>
          <w:szCs w:val="21"/>
        </w:rPr>
        <w:t>31.1本</w:t>
      </w:r>
      <w:r>
        <w:rPr>
          <w:rFonts w:hint="eastAsia" w:ascii="宋体" w:hAnsi="宋体"/>
          <w:spacing w:val="-6"/>
          <w:szCs w:val="21"/>
        </w:rPr>
        <w:t>项目的合同将授予按本须知所确定的成交人。</w:t>
      </w:r>
    </w:p>
    <w:p>
      <w:pPr>
        <w:spacing w:line="360" w:lineRule="auto"/>
        <w:ind w:firstLine="198" w:firstLineChars="100"/>
        <w:rPr>
          <w:rFonts w:ascii="宋体" w:hAnsi="宋体"/>
          <w:szCs w:val="21"/>
        </w:rPr>
      </w:pPr>
      <w:r>
        <w:rPr>
          <w:rFonts w:hint="eastAsia" w:ascii="宋体" w:hAnsi="宋体"/>
          <w:spacing w:val="-6"/>
          <w:szCs w:val="21"/>
        </w:rPr>
        <w:t>31.2采购单位将根据评审报告，确定排名第一的成交候选人为成交人。</w:t>
      </w:r>
      <w:r>
        <w:rPr>
          <w:rFonts w:hint="eastAsia" w:ascii="宋体" w:hAnsi="宋体"/>
          <w:szCs w:val="21"/>
        </w:rPr>
        <w:t>当确定成交的成交候选人放弃成交、因不可抗力提出不能履行合同、不按规定向采购单位交纳履约保证金（若有）的，采购单位可以按序确定排名第二的成交候选人为成交，也可以重新开展采购活动。</w:t>
      </w:r>
    </w:p>
    <w:p>
      <w:pPr>
        <w:spacing w:line="360" w:lineRule="auto"/>
        <w:rPr>
          <w:rFonts w:ascii="宋体" w:hAnsi="宋体"/>
          <w:szCs w:val="21"/>
        </w:rPr>
      </w:pPr>
      <w:r>
        <w:rPr>
          <w:rFonts w:hint="eastAsia" w:ascii="宋体" w:hAnsi="宋体"/>
          <w:szCs w:val="21"/>
        </w:rPr>
        <w:t>32.采购单位拒绝供应商的权力</w:t>
      </w:r>
    </w:p>
    <w:p>
      <w:pPr>
        <w:spacing w:line="360" w:lineRule="auto"/>
        <w:ind w:firstLine="210" w:firstLineChars="100"/>
        <w:rPr>
          <w:rFonts w:ascii="宋体" w:hAnsi="宋体"/>
          <w:szCs w:val="21"/>
        </w:rPr>
      </w:pPr>
      <w:r>
        <w:rPr>
          <w:rFonts w:hint="eastAsia" w:ascii="宋体" w:hAnsi="宋体"/>
          <w:szCs w:val="21"/>
        </w:rPr>
        <w:t>32.1若出现重大变故，采购任务取消，采购代理机构和采购单位保留因此原因在授标之前任何时候接受或拒绝任何磋商响应文件的权力，对受影响的供应商不承担任何责任。</w:t>
      </w:r>
    </w:p>
    <w:p>
      <w:pPr>
        <w:spacing w:line="360" w:lineRule="auto"/>
        <w:rPr>
          <w:rFonts w:ascii="宋体" w:hAnsi="宋体"/>
          <w:szCs w:val="21"/>
        </w:rPr>
      </w:pPr>
      <w:r>
        <w:rPr>
          <w:rFonts w:hint="eastAsia" w:ascii="宋体" w:hAnsi="宋体"/>
          <w:szCs w:val="21"/>
        </w:rPr>
        <w:t>33.成交结果的公告</w:t>
      </w:r>
    </w:p>
    <w:p>
      <w:pPr>
        <w:spacing w:line="360" w:lineRule="auto"/>
        <w:ind w:firstLine="210" w:firstLineChars="100"/>
        <w:rPr>
          <w:rFonts w:ascii="宋体" w:hAnsi="宋体"/>
          <w:szCs w:val="21"/>
        </w:rPr>
      </w:pPr>
      <w:r>
        <w:rPr>
          <w:rFonts w:hint="eastAsia" w:ascii="宋体" w:hAnsi="宋体"/>
          <w:szCs w:val="21"/>
        </w:rPr>
        <w:t>33.1磋商结束后2个工作日内，采购代理机构将评审报告报送采购单位，经采购单位审批后，成交结果将在</w:t>
      </w:r>
      <w:r>
        <w:rPr>
          <w:rFonts w:hint="eastAsia" w:ascii="宋体" w:hAnsi="宋体" w:cs="宋体"/>
          <w:szCs w:val="21"/>
          <w:lang w:val="zh-CN"/>
        </w:rPr>
        <w:t>《河南省电子招标投标公共服务平台》、《中国招标投标公共服务平台》、《河南省政府采购网》、《全国公共资源交易平台（河南省.平顶山市）》、《鲁山县政府采购网》、《河南英典工程管理有限公司官网》</w:t>
      </w:r>
      <w:r>
        <w:rPr>
          <w:rFonts w:hint="eastAsia" w:ascii="宋体" w:hAnsi="宋体" w:cs="宋体"/>
          <w:szCs w:val="21"/>
        </w:rPr>
        <w:t>上同时进行</w:t>
      </w:r>
      <w:r>
        <w:rPr>
          <w:rFonts w:hint="eastAsia" w:ascii="宋体" w:hAnsi="宋体"/>
          <w:szCs w:val="21"/>
        </w:rPr>
        <w:t>公告。</w:t>
      </w:r>
    </w:p>
    <w:p>
      <w:pPr>
        <w:spacing w:line="360" w:lineRule="auto"/>
        <w:ind w:firstLine="210" w:firstLineChars="100"/>
        <w:rPr>
          <w:rFonts w:ascii="宋体" w:hAnsi="宋体"/>
          <w:szCs w:val="21"/>
        </w:rPr>
      </w:pPr>
      <w:r>
        <w:rPr>
          <w:rFonts w:hint="eastAsia" w:ascii="宋体" w:hAnsi="宋体"/>
          <w:szCs w:val="21"/>
        </w:rPr>
        <w:t>33.2供应商若对磋商结果有疑问，有权按照相关法律法规规定的程序进行投诉和质疑，但须对投诉和质疑内容的真实性承担责任。</w:t>
      </w:r>
    </w:p>
    <w:p>
      <w:pPr>
        <w:spacing w:line="360" w:lineRule="auto"/>
        <w:rPr>
          <w:rFonts w:ascii="宋体" w:hAnsi="宋体"/>
          <w:szCs w:val="21"/>
        </w:rPr>
      </w:pPr>
      <w:r>
        <w:rPr>
          <w:rFonts w:hint="eastAsia" w:ascii="宋体" w:hAnsi="宋体"/>
          <w:szCs w:val="21"/>
        </w:rPr>
        <w:t>34.成交通知书</w:t>
      </w:r>
    </w:p>
    <w:p>
      <w:pPr>
        <w:spacing w:line="360" w:lineRule="auto"/>
        <w:ind w:firstLine="210" w:firstLineChars="100"/>
        <w:rPr>
          <w:rFonts w:ascii="宋体" w:hAnsi="宋体"/>
          <w:szCs w:val="21"/>
        </w:rPr>
      </w:pPr>
      <w:r>
        <w:rPr>
          <w:rFonts w:hint="eastAsia" w:ascii="宋体" w:hAnsi="宋体"/>
          <w:szCs w:val="21"/>
        </w:rPr>
        <w:t>34.1在磋商有效期满之前，向成交人发出成交通知书。</w:t>
      </w:r>
    </w:p>
    <w:p>
      <w:pPr>
        <w:spacing w:line="360" w:lineRule="auto"/>
        <w:ind w:firstLine="210" w:firstLineChars="100"/>
        <w:rPr>
          <w:rFonts w:ascii="宋体" w:hAnsi="宋体"/>
          <w:szCs w:val="21"/>
        </w:rPr>
      </w:pPr>
      <w:r>
        <w:rPr>
          <w:rFonts w:hint="eastAsia" w:ascii="宋体" w:hAnsi="宋体"/>
          <w:szCs w:val="21"/>
        </w:rPr>
        <w:t>34.2成交通知书将作为进行合同磋商和签订的依据。</w:t>
      </w:r>
    </w:p>
    <w:p>
      <w:pPr>
        <w:spacing w:line="360" w:lineRule="auto"/>
        <w:rPr>
          <w:rFonts w:ascii="宋体" w:hAnsi="宋体"/>
          <w:szCs w:val="21"/>
        </w:rPr>
      </w:pPr>
      <w:r>
        <w:rPr>
          <w:rFonts w:hint="eastAsia" w:ascii="宋体" w:hAnsi="宋体"/>
          <w:szCs w:val="21"/>
        </w:rPr>
        <w:t>35.合同协议书的签订</w:t>
      </w:r>
    </w:p>
    <w:p>
      <w:pPr>
        <w:spacing w:line="360" w:lineRule="auto"/>
        <w:ind w:firstLine="420" w:firstLineChars="200"/>
        <w:rPr>
          <w:rFonts w:ascii="宋体" w:hAnsi="宋体"/>
          <w:szCs w:val="21"/>
        </w:rPr>
      </w:pPr>
      <w:r>
        <w:rPr>
          <w:rFonts w:hint="eastAsia" w:ascii="宋体" w:hAnsi="宋体"/>
          <w:szCs w:val="21"/>
        </w:rPr>
        <w:t>35.1签订合同后，采购单位和成交人不得订立背离合同实质性内容的其他协议。</w:t>
      </w:r>
    </w:p>
    <w:p>
      <w:pPr>
        <w:spacing w:line="360" w:lineRule="auto"/>
        <w:rPr>
          <w:rFonts w:ascii="宋体" w:hAnsi="宋体"/>
          <w:szCs w:val="21"/>
        </w:rPr>
      </w:pPr>
      <w:r>
        <w:rPr>
          <w:rFonts w:hint="eastAsia" w:ascii="宋体" w:hAnsi="宋体"/>
          <w:szCs w:val="21"/>
        </w:rPr>
        <w:t>35.3成交人应当按照合同约定履行义务，完成成交项目，不得将成交项目转让(转包)给他人。</w:t>
      </w:r>
    </w:p>
    <w:p>
      <w:pPr>
        <w:jc w:val="center"/>
        <w:outlineLvl w:val="0"/>
        <w:rPr>
          <w:rStyle w:val="36"/>
          <w:sz w:val="36"/>
          <w:szCs w:val="36"/>
        </w:rPr>
      </w:pPr>
      <w:r>
        <w:rPr>
          <w:rStyle w:val="36"/>
          <w:sz w:val="36"/>
          <w:szCs w:val="36"/>
        </w:rPr>
        <w:br w:type="page"/>
      </w:r>
      <w:bookmarkStart w:id="206" w:name="_Toc28975"/>
      <w:bookmarkStart w:id="207" w:name="_Toc12956"/>
      <w:bookmarkStart w:id="208" w:name="_Toc19707"/>
      <w:bookmarkStart w:id="209" w:name="_Toc15431"/>
      <w:bookmarkStart w:id="210" w:name="_Toc13396"/>
      <w:bookmarkStart w:id="211" w:name="_Toc28892"/>
      <w:bookmarkStart w:id="212" w:name="_Toc16377"/>
      <w:bookmarkStart w:id="213" w:name="_Toc21833"/>
      <w:bookmarkStart w:id="214" w:name="_Toc28192"/>
      <w:bookmarkStart w:id="215" w:name="_Toc23642"/>
      <w:bookmarkStart w:id="216" w:name="_Toc6396"/>
      <w:bookmarkStart w:id="217" w:name="_Toc24256"/>
      <w:bookmarkStart w:id="218" w:name="_Toc30700"/>
      <w:bookmarkStart w:id="219" w:name="_Toc20202"/>
      <w:bookmarkStart w:id="220" w:name="_Toc24003"/>
      <w:bookmarkStart w:id="221" w:name="_Toc8592"/>
      <w:r>
        <w:rPr>
          <w:rStyle w:val="36"/>
          <w:rFonts w:hint="eastAsia"/>
          <w:sz w:val="36"/>
          <w:szCs w:val="36"/>
        </w:rPr>
        <w:t>第三章</w:t>
      </w:r>
      <w:r>
        <w:rPr>
          <w:rStyle w:val="36"/>
          <w:sz w:val="36"/>
          <w:szCs w:val="36"/>
        </w:rPr>
        <w:t xml:space="preserve">  </w:t>
      </w:r>
      <w:r>
        <w:rPr>
          <w:rStyle w:val="36"/>
          <w:rFonts w:hint="eastAsia"/>
          <w:sz w:val="36"/>
          <w:szCs w:val="36"/>
        </w:rPr>
        <w:t>评审办法</w:t>
      </w:r>
      <w:bookmarkEnd w:id="206"/>
      <w:bookmarkEnd w:id="207"/>
      <w:bookmarkEnd w:id="208"/>
      <w:bookmarkEnd w:id="209"/>
      <w:bookmarkEnd w:id="210"/>
      <w:bookmarkEnd w:id="211"/>
    </w:p>
    <w:p>
      <w:pPr>
        <w:jc w:val="center"/>
        <w:rPr>
          <w:rFonts w:ascii="宋体" w:hAnsi="宋体" w:cs="宋体"/>
          <w:color w:val="000000"/>
          <w:szCs w:val="21"/>
        </w:rPr>
      </w:pPr>
      <w:r>
        <w:rPr>
          <w:rFonts w:hint="eastAsia" w:ascii="宋体" w:hAnsi="宋体" w:cs="宋体"/>
          <w:b/>
          <w:szCs w:val="21"/>
        </w:rPr>
        <w:t>评审办法前附表</w:t>
      </w:r>
    </w:p>
    <w:tbl>
      <w:tblPr>
        <w:tblStyle w:val="17"/>
        <w:tblpPr w:leftFromText="180" w:rightFromText="180" w:vertAnchor="text" w:horzAnchor="page" w:tblpX="927" w:tblpY="496"/>
        <w:tblOverlap w:val="never"/>
        <w:tblW w:w="10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18"/>
        <w:gridCol w:w="2765"/>
        <w:gridCol w:w="357"/>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59"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b/>
                <w:color w:val="auto"/>
                <w:sz w:val="21"/>
                <w:szCs w:val="21"/>
              </w:rPr>
            </w:pPr>
            <w:r>
              <w:rPr>
                <w:rFonts w:hint="eastAsia" w:hAnsi="宋体"/>
                <w:b/>
                <w:color w:val="auto"/>
                <w:sz w:val="21"/>
                <w:szCs w:val="21"/>
              </w:rPr>
              <w:t>条款号</w:t>
            </w: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b/>
                <w:color w:val="auto"/>
                <w:sz w:val="21"/>
                <w:szCs w:val="21"/>
              </w:rPr>
            </w:pPr>
            <w:r>
              <w:rPr>
                <w:rFonts w:hint="eastAsia" w:hAnsi="宋体"/>
                <w:b/>
                <w:color w:val="auto"/>
                <w:sz w:val="21"/>
                <w:szCs w:val="21"/>
              </w:rPr>
              <w:t>评审因素</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b/>
                <w:color w:val="auto"/>
                <w:sz w:val="21"/>
                <w:szCs w:val="21"/>
              </w:rPr>
            </w:pPr>
            <w:r>
              <w:rPr>
                <w:rFonts w:hint="eastAsia" w:hAnsi="宋体"/>
                <w:b/>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741"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2.1.1</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形</w:t>
            </w:r>
          </w:p>
          <w:p>
            <w:pPr>
              <w:pStyle w:val="34"/>
              <w:spacing w:line="360" w:lineRule="auto"/>
              <w:jc w:val="center"/>
              <w:rPr>
                <w:rFonts w:hAnsi="宋体"/>
                <w:color w:val="auto"/>
                <w:sz w:val="21"/>
                <w:szCs w:val="21"/>
              </w:rPr>
            </w:pPr>
            <w:r>
              <w:rPr>
                <w:rFonts w:hint="eastAsia" w:hAnsi="宋体"/>
                <w:color w:val="auto"/>
                <w:sz w:val="21"/>
                <w:szCs w:val="21"/>
              </w:rPr>
              <w:t>式</w:t>
            </w:r>
          </w:p>
          <w:p>
            <w:pPr>
              <w:pStyle w:val="34"/>
              <w:spacing w:line="360" w:lineRule="auto"/>
              <w:jc w:val="center"/>
              <w:rPr>
                <w:rFonts w:hAnsi="宋体"/>
                <w:color w:val="auto"/>
                <w:sz w:val="21"/>
                <w:szCs w:val="21"/>
              </w:rPr>
            </w:pPr>
            <w:r>
              <w:rPr>
                <w:rFonts w:hint="eastAsia" w:hAnsi="宋体"/>
                <w:color w:val="auto"/>
                <w:sz w:val="21"/>
                <w:szCs w:val="21"/>
              </w:rPr>
              <w:t>评</w:t>
            </w:r>
          </w:p>
          <w:p>
            <w:pPr>
              <w:pStyle w:val="34"/>
              <w:spacing w:line="360" w:lineRule="auto"/>
              <w:jc w:val="center"/>
              <w:rPr>
                <w:rFonts w:hAnsi="宋体"/>
                <w:color w:val="auto"/>
                <w:sz w:val="21"/>
                <w:szCs w:val="21"/>
              </w:rPr>
            </w:pPr>
            <w:r>
              <w:rPr>
                <w:rFonts w:hint="eastAsia" w:hAnsi="宋体"/>
                <w:color w:val="auto"/>
                <w:sz w:val="21"/>
                <w:szCs w:val="21"/>
              </w:rPr>
              <w:t>审</w:t>
            </w:r>
          </w:p>
          <w:p>
            <w:pPr>
              <w:pStyle w:val="34"/>
              <w:spacing w:line="360" w:lineRule="auto"/>
              <w:jc w:val="center"/>
              <w:rPr>
                <w:rFonts w:hAnsi="宋体"/>
                <w:color w:val="auto"/>
                <w:sz w:val="21"/>
                <w:szCs w:val="21"/>
              </w:rPr>
            </w:pPr>
            <w:r>
              <w:rPr>
                <w:rFonts w:hint="eastAsia" w:hAnsi="宋体"/>
                <w:color w:val="auto"/>
                <w:sz w:val="21"/>
                <w:szCs w:val="21"/>
              </w:rPr>
              <w:t>标</w:t>
            </w:r>
          </w:p>
          <w:p>
            <w:pPr>
              <w:pStyle w:val="34"/>
              <w:spacing w:line="360" w:lineRule="auto"/>
              <w:jc w:val="center"/>
              <w:rPr>
                <w:rFonts w:hAnsi="宋体"/>
                <w:color w:val="auto"/>
                <w:sz w:val="21"/>
                <w:szCs w:val="21"/>
              </w:rPr>
            </w:pPr>
            <w:r>
              <w:rPr>
                <w:rFonts w:hint="eastAsia" w:hAnsi="宋体"/>
                <w:color w:val="auto"/>
                <w:sz w:val="21"/>
                <w:szCs w:val="21"/>
              </w:rPr>
              <w:t>准</w:t>
            </w: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供应商名称</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授权委托书</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法定代表人身份证明或法人授权委托书及被授</w:t>
            </w:r>
          </w:p>
          <w:p>
            <w:pPr>
              <w:spacing w:line="360" w:lineRule="auto"/>
              <w:jc w:val="center"/>
            </w:pPr>
            <w:r>
              <w:rPr>
                <w:rFonts w:hint="eastAsia"/>
              </w:rPr>
              <w:t>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rPr>
              <w:t>响应文件签字盖章</w:t>
            </w:r>
            <w:r>
              <w:t xml:space="preserve"> </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响应文件格式</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符合第六章“磋商响应性文件格式”规定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报价</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超出采购控制价的属无效投标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741"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2.1.2</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资</w:t>
            </w:r>
          </w:p>
          <w:p>
            <w:pPr>
              <w:pStyle w:val="34"/>
              <w:spacing w:line="360" w:lineRule="auto"/>
              <w:jc w:val="center"/>
              <w:rPr>
                <w:rFonts w:hAnsi="宋体"/>
                <w:color w:val="auto"/>
                <w:sz w:val="21"/>
                <w:szCs w:val="21"/>
              </w:rPr>
            </w:pPr>
            <w:r>
              <w:rPr>
                <w:rFonts w:hint="eastAsia" w:hAnsi="宋体"/>
                <w:color w:val="auto"/>
                <w:sz w:val="21"/>
                <w:szCs w:val="21"/>
              </w:rPr>
              <w:t>格</w:t>
            </w:r>
          </w:p>
          <w:p>
            <w:pPr>
              <w:pStyle w:val="34"/>
              <w:spacing w:line="360" w:lineRule="auto"/>
              <w:jc w:val="center"/>
              <w:rPr>
                <w:rFonts w:hAnsi="宋体"/>
                <w:color w:val="auto"/>
                <w:sz w:val="21"/>
                <w:szCs w:val="21"/>
              </w:rPr>
            </w:pPr>
            <w:r>
              <w:rPr>
                <w:rFonts w:hint="eastAsia" w:hAnsi="宋体"/>
                <w:color w:val="auto"/>
                <w:sz w:val="21"/>
                <w:szCs w:val="21"/>
              </w:rPr>
              <w:t>评</w:t>
            </w:r>
          </w:p>
          <w:p>
            <w:pPr>
              <w:pStyle w:val="34"/>
              <w:spacing w:line="360" w:lineRule="auto"/>
              <w:jc w:val="center"/>
              <w:rPr>
                <w:rFonts w:hAnsi="宋体"/>
                <w:color w:val="auto"/>
                <w:sz w:val="21"/>
                <w:szCs w:val="21"/>
              </w:rPr>
            </w:pPr>
            <w:r>
              <w:rPr>
                <w:rFonts w:hint="eastAsia" w:hAnsi="宋体"/>
                <w:color w:val="auto"/>
                <w:sz w:val="21"/>
                <w:szCs w:val="21"/>
              </w:rPr>
              <w:t>审</w:t>
            </w:r>
          </w:p>
          <w:p>
            <w:pPr>
              <w:pStyle w:val="34"/>
              <w:spacing w:line="360" w:lineRule="auto"/>
              <w:jc w:val="center"/>
              <w:rPr>
                <w:rFonts w:hAnsi="宋体"/>
                <w:color w:val="auto"/>
                <w:sz w:val="21"/>
                <w:szCs w:val="21"/>
              </w:rPr>
            </w:pPr>
            <w:r>
              <w:rPr>
                <w:rFonts w:hint="eastAsia" w:hAnsi="宋体"/>
                <w:color w:val="auto"/>
                <w:sz w:val="21"/>
                <w:szCs w:val="21"/>
              </w:rPr>
              <w:t>标</w:t>
            </w:r>
          </w:p>
          <w:p>
            <w:pPr>
              <w:pStyle w:val="34"/>
              <w:spacing w:line="360" w:lineRule="auto"/>
              <w:jc w:val="center"/>
              <w:rPr>
                <w:rFonts w:hAnsi="宋体"/>
                <w:color w:val="auto"/>
                <w:sz w:val="21"/>
                <w:szCs w:val="21"/>
              </w:rPr>
            </w:pPr>
            <w:r>
              <w:rPr>
                <w:rFonts w:hint="eastAsia" w:hAnsi="宋体"/>
                <w:color w:val="auto"/>
                <w:sz w:val="21"/>
                <w:szCs w:val="21"/>
              </w:rPr>
              <w:t>准</w:t>
            </w: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营业执照、开户许可证</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sz w:val="21"/>
                <w:szCs w:val="21"/>
              </w:rPr>
              <w:t>符合第二章“磋商须知前附表”第</w:t>
            </w:r>
            <w:r>
              <w:rPr>
                <w:rFonts w:hint="eastAsia" w:hAnsi="宋体"/>
                <w:sz w:val="21"/>
                <w:szCs w:val="21"/>
                <w:lang w:val="en-US" w:eastAsia="zh-CN"/>
              </w:rPr>
              <w:t>10</w:t>
            </w:r>
            <w:r>
              <w:rPr>
                <w:rFonts w:hint="eastAsia" w:hAnsi="宋体"/>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资质要求</w:t>
            </w:r>
          </w:p>
        </w:tc>
        <w:tc>
          <w:tcPr>
            <w:tcW w:w="503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sz w:val="21"/>
                <w:szCs w:val="21"/>
              </w:rPr>
              <w:t>符合第二章“磋商须知前附表”第</w:t>
            </w:r>
            <w:r>
              <w:rPr>
                <w:rFonts w:hint="eastAsia" w:hAnsi="宋体"/>
                <w:sz w:val="21"/>
                <w:szCs w:val="21"/>
                <w:lang w:val="en-US" w:eastAsia="zh-CN"/>
              </w:rPr>
              <w:t>10</w:t>
            </w:r>
            <w:r>
              <w:rPr>
                <w:rFonts w:hint="eastAsia" w:hAnsi="宋体"/>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财务要求</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ascii="宋体" w:hAnsi="宋体" w:cs="宋体"/>
                <w:kern w:val="0"/>
                <w:szCs w:val="21"/>
                <w:lang w:val="en-US" w:eastAsia="zh-CN"/>
              </w:rPr>
              <w:t>10</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委托代理人</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ascii="宋体" w:hAnsi="宋体" w:cs="宋体"/>
                <w:kern w:val="0"/>
                <w:szCs w:val="21"/>
                <w:lang w:val="en-US" w:eastAsia="zh-CN"/>
              </w:rPr>
              <w:t>10</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信用要求</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ascii="宋体" w:hAnsi="宋体" w:cs="宋体"/>
                <w:kern w:val="0"/>
                <w:szCs w:val="21"/>
                <w:lang w:val="en-US" w:eastAsia="zh-CN"/>
              </w:rPr>
              <w:t>10</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122"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其他要求</w:t>
            </w:r>
          </w:p>
        </w:tc>
        <w:tc>
          <w:tcPr>
            <w:tcW w:w="5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ascii="宋体" w:hAnsi="宋体" w:cs="宋体"/>
                <w:kern w:val="0"/>
                <w:szCs w:val="21"/>
                <w:lang w:val="en-US" w:eastAsia="zh-CN"/>
              </w:rPr>
              <w:t>10</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021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2" w:firstLineChars="200"/>
              <w:jc w:val="left"/>
              <w:rPr>
                <w:rFonts w:ascii="宋体" w:hAnsi="宋体" w:cs="宋体"/>
                <w:kern w:val="0"/>
                <w:szCs w:val="21"/>
              </w:rPr>
            </w:pPr>
            <w:r>
              <w:rPr>
                <w:rFonts w:hint="eastAsia"/>
                <w:b/>
                <w:bCs/>
                <w:color w:val="000000"/>
              </w:rPr>
              <w:t>注：企业投报的人员、业绩、证件等信息，除磋商文件规定需要提供原件外，均不再提供原件。以上信息以平顶山公共资源交易网企业信息库中登记的信息为准，未登记的，评审时不予认可</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41"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2.1.3</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响</w:t>
            </w:r>
          </w:p>
          <w:p>
            <w:pPr>
              <w:jc w:val="center"/>
              <w:rPr>
                <w:rFonts w:ascii="宋体" w:hAnsi="宋体" w:cs="宋体"/>
              </w:rPr>
            </w:pPr>
            <w:r>
              <w:rPr>
                <w:rFonts w:hint="eastAsia" w:ascii="宋体" w:hAnsi="宋体" w:cs="宋体"/>
              </w:rPr>
              <w:t>应</w:t>
            </w:r>
          </w:p>
          <w:p>
            <w:pPr>
              <w:jc w:val="center"/>
              <w:rPr>
                <w:rFonts w:ascii="宋体" w:hAnsi="宋体" w:cs="宋体"/>
              </w:rPr>
            </w:pPr>
            <w:r>
              <w:rPr>
                <w:rFonts w:hint="eastAsia" w:ascii="宋体" w:hAnsi="宋体" w:cs="宋体"/>
              </w:rPr>
              <w:t>性</w:t>
            </w:r>
          </w:p>
          <w:p>
            <w:pPr>
              <w:jc w:val="center"/>
              <w:rPr>
                <w:rFonts w:ascii="宋体" w:hAnsi="宋体" w:cs="宋体"/>
              </w:rPr>
            </w:pPr>
            <w:r>
              <w:rPr>
                <w:rFonts w:hint="eastAsia" w:ascii="宋体" w:hAnsi="宋体" w:cs="宋体"/>
              </w:rPr>
              <w:t>评</w:t>
            </w:r>
          </w:p>
          <w:p>
            <w:pPr>
              <w:jc w:val="center"/>
              <w:rPr>
                <w:rFonts w:ascii="宋体" w:hAnsi="宋体" w:cs="宋体"/>
              </w:rPr>
            </w:pPr>
            <w:r>
              <w:rPr>
                <w:rFonts w:hint="eastAsia" w:ascii="宋体" w:hAnsi="宋体" w:cs="宋体"/>
              </w:rPr>
              <w:t>审</w:t>
            </w:r>
          </w:p>
          <w:p>
            <w:pPr>
              <w:jc w:val="center"/>
              <w:rPr>
                <w:rFonts w:ascii="宋体" w:hAnsi="宋体" w:cs="宋体"/>
              </w:rPr>
            </w:pPr>
            <w:r>
              <w:rPr>
                <w:rFonts w:hint="eastAsia" w:ascii="宋体" w:hAnsi="宋体" w:cs="宋体"/>
              </w:rPr>
              <w:t>标</w:t>
            </w:r>
          </w:p>
          <w:p>
            <w:pPr>
              <w:jc w:val="center"/>
              <w:rPr>
                <w:rFonts w:ascii="宋体" w:hAnsi="宋体" w:cs="宋体"/>
              </w:rPr>
            </w:pPr>
            <w:r>
              <w:rPr>
                <w:rFonts w:hint="eastAsia" w:ascii="宋体" w:hAnsi="宋体" w:cs="宋体"/>
              </w:rPr>
              <w:t>准</w:t>
            </w:r>
          </w:p>
        </w:tc>
        <w:tc>
          <w:tcPr>
            <w:tcW w:w="2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响应内容</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施工图纸及工程量清单内的全部工作内容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工期</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hAnsi="宋体" w:cs="宋体"/>
                <w:kern w:val="0"/>
                <w:szCs w:val="21"/>
                <w:lang w:val="en-US" w:eastAsia="zh-CN"/>
              </w:rPr>
              <w:t>7</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质量</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int="eastAsia" w:hAnsi="宋体" w:cs="宋体"/>
                <w:kern w:val="0"/>
                <w:szCs w:val="21"/>
                <w:lang w:val="en-US" w:eastAsia="zh-CN"/>
              </w:rPr>
              <w:t>8</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rPr>
              <w:t>磋商</w:t>
            </w:r>
            <w:r>
              <w:rPr>
                <w:rFonts w:hint="eastAsia" w:ascii="宋体" w:hAnsi="宋体" w:cs="宋体"/>
              </w:rPr>
              <w:t>有效期</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kern w:val="0"/>
                <w:szCs w:val="21"/>
              </w:rPr>
              <w:t>符合第二章“</w:t>
            </w:r>
            <w:r>
              <w:rPr>
                <w:rFonts w:hint="eastAsia" w:hAnsi="宋体" w:cs="宋体"/>
                <w:kern w:val="0"/>
                <w:szCs w:val="21"/>
              </w:rPr>
              <w:t>磋商</w:t>
            </w:r>
            <w:r>
              <w:rPr>
                <w:rFonts w:hint="eastAsia" w:ascii="宋体" w:hAnsi="宋体" w:cs="宋体"/>
                <w:kern w:val="0"/>
                <w:szCs w:val="21"/>
              </w:rPr>
              <w:t>须知前附表”第</w:t>
            </w:r>
            <w:r>
              <w:rPr>
                <w:rFonts w:hAnsi="宋体" w:cs="宋体"/>
                <w:kern w:val="0"/>
                <w:szCs w:val="21"/>
              </w:rPr>
              <w:t>1</w:t>
            </w:r>
            <w:r>
              <w:rPr>
                <w:rFonts w:hint="eastAsia" w:hAnsi="宋体" w:cs="宋体"/>
                <w:kern w:val="0"/>
                <w:szCs w:val="21"/>
                <w:lang w:val="en-US" w:eastAsia="zh-CN"/>
              </w:rPr>
              <w:t>3</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2059"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2.2.1</w:t>
            </w:r>
          </w:p>
        </w:tc>
        <w:tc>
          <w:tcPr>
            <w:tcW w:w="2765"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分值组成</w:t>
            </w:r>
          </w:p>
          <w:p>
            <w:pPr>
              <w:pStyle w:val="34"/>
              <w:spacing w:line="360" w:lineRule="auto"/>
              <w:jc w:val="center"/>
              <w:rPr>
                <w:rFonts w:hAnsi="宋体"/>
                <w:color w:val="auto"/>
                <w:sz w:val="21"/>
                <w:szCs w:val="21"/>
              </w:rPr>
            </w:pPr>
            <w:r>
              <w:rPr>
                <w:rFonts w:hint="eastAsia" w:hAnsi="宋体"/>
                <w:color w:val="auto"/>
                <w:sz w:val="21"/>
                <w:szCs w:val="21"/>
              </w:rPr>
              <w:t>（总分100分）</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hAnsi="宋体"/>
                <w:color w:val="auto"/>
                <w:sz w:val="21"/>
                <w:szCs w:val="21"/>
              </w:rPr>
            </w:pPr>
            <w:r>
              <w:rPr>
                <w:rFonts w:hint="eastAsia" w:hAnsi="宋体"/>
                <w:color w:val="auto"/>
                <w:sz w:val="21"/>
                <w:szCs w:val="21"/>
              </w:rPr>
              <w:t>施工组织设计：50 分</w:t>
            </w:r>
          </w:p>
          <w:p>
            <w:pPr>
              <w:pStyle w:val="34"/>
              <w:spacing w:line="360" w:lineRule="auto"/>
              <w:rPr>
                <w:rFonts w:hAnsi="宋体"/>
                <w:color w:val="auto"/>
                <w:sz w:val="21"/>
                <w:szCs w:val="21"/>
              </w:rPr>
            </w:pPr>
            <w:r>
              <w:rPr>
                <w:rFonts w:hint="eastAsia" w:hAnsi="宋体"/>
                <w:color w:val="auto"/>
                <w:sz w:val="21"/>
                <w:szCs w:val="21"/>
              </w:rPr>
              <w:t>投标报价：40 分</w:t>
            </w:r>
          </w:p>
          <w:p>
            <w:pPr>
              <w:pStyle w:val="34"/>
              <w:spacing w:line="360" w:lineRule="auto"/>
              <w:rPr>
                <w:rFonts w:hAnsi="宋体"/>
                <w:color w:val="auto"/>
                <w:sz w:val="21"/>
                <w:szCs w:val="21"/>
              </w:rPr>
            </w:pPr>
            <w:r>
              <w:rPr>
                <w:rFonts w:hint="eastAsia" w:hAnsi="宋体"/>
                <w:color w:val="auto"/>
                <w:sz w:val="21"/>
                <w:szCs w:val="21"/>
              </w:rPr>
              <w:t>综合（信用）标：10分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b/>
                <w:bCs/>
                <w:color w:val="auto"/>
                <w:sz w:val="21"/>
                <w:szCs w:val="21"/>
              </w:rPr>
            </w:pPr>
            <w:r>
              <w:rPr>
                <w:rFonts w:hint="eastAsia" w:hAnsi="宋体"/>
                <w:b/>
                <w:bCs/>
                <w:color w:val="auto"/>
                <w:sz w:val="21"/>
                <w:szCs w:val="21"/>
              </w:rPr>
              <w:t>2.2.2技术标评分标准（满分50分，缺一项，该项为0分）</w:t>
            </w: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1．施工方案和技术措施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2．质量管理体系与措施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3．安全管理体系与措施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4．环境保护管理体系与措施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5．工程进度计划与措施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6．拟投入资源配备计划</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7．文明工地施工措施</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8.施工进度表或施工网络图</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9.施工总平面布置图</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6" w:hRule="atLeast"/>
        </w:trPr>
        <w:tc>
          <w:tcPr>
            <w:tcW w:w="2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sz w:val="21"/>
                <w:szCs w:val="21"/>
              </w:rPr>
              <w:t>10．新工艺、新技术、新设备、新材料的采用程度，其在确保质量、降低成本、缩短工期、减轻劳动强度、提高工效等方面的作用</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宋体" w:hAnsi="宋体" w:cs="宋体"/>
                <w:sz w:val="21"/>
                <w:szCs w:val="21"/>
              </w:rPr>
            </w:pPr>
            <w:r>
              <w:rPr>
                <w:rFonts w:hint="eastAsia" w:ascii="宋体" w:hAnsi="宋体" w:cs="宋体"/>
                <w:sz w:val="21"/>
                <w:szCs w:val="21"/>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2.2.3</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宋体" w:hAnsi="宋体" w:cs="宋体"/>
                <w:b/>
                <w:bCs/>
                <w:kern w:val="0"/>
                <w:szCs w:val="21"/>
              </w:rPr>
              <w:t>商务标</w:t>
            </w:r>
          </w:p>
          <w:p>
            <w:pPr>
              <w:jc w:val="center"/>
              <w:rPr>
                <w:rFonts w:ascii="宋体" w:hAnsi="宋体" w:cs="宋体"/>
                <w:b/>
                <w:bCs/>
                <w:kern w:val="0"/>
                <w:szCs w:val="21"/>
              </w:rPr>
            </w:pPr>
            <w:r>
              <w:rPr>
                <w:rFonts w:hint="eastAsia" w:ascii="宋体" w:hAnsi="宋体" w:cs="宋体"/>
                <w:b/>
                <w:bCs/>
                <w:kern w:val="0"/>
                <w:szCs w:val="21"/>
              </w:rPr>
              <w:t>评分标准</w:t>
            </w:r>
          </w:p>
          <w:p>
            <w:pPr>
              <w:jc w:val="center"/>
              <w:rPr>
                <w:rFonts w:ascii="宋体" w:hAnsi="宋体" w:cs="宋体"/>
                <w:szCs w:val="21"/>
              </w:rPr>
            </w:pPr>
            <w:r>
              <w:rPr>
                <w:rFonts w:hint="eastAsia" w:ascii="宋体" w:hAnsi="宋体" w:cs="宋体"/>
                <w:b/>
                <w:bCs/>
                <w:kern w:val="0"/>
                <w:szCs w:val="21"/>
              </w:rPr>
              <w:t>（40分</w:t>
            </w:r>
            <w:r>
              <w:rPr>
                <w:rFonts w:hint="eastAsia" w:ascii="宋体" w:hAnsi="宋体"/>
                <w:sz w:val="24"/>
              </w:rPr>
              <w:t>）</w:t>
            </w:r>
          </w:p>
        </w:tc>
        <w:tc>
          <w:tcPr>
            <w:tcW w:w="2765"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jc w:val="center"/>
              <w:rPr>
                <w:rFonts w:ascii="宋体" w:hAnsi="宋体" w:cs="宋体"/>
                <w:kern w:val="0"/>
                <w:szCs w:val="21"/>
              </w:rPr>
            </w:pPr>
            <w:r>
              <w:rPr>
                <w:rFonts w:hint="eastAsia" w:ascii="宋体" w:hAnsi="宋体" w:cs="宋体"/>
                <w:kern w:val="0"/>
                <w:szCs w:val="21"/>
              </w:rPr>
              <w:t>投标报价的评审40分</w:t>
            </w:r>
          </w:p>
          <w:p>
            <w:pPr>
              <w:tabs>
                <w:tab w:val="left" w:pos="0"/>
              </w:tabs>
              <w:spacing w:line="360" w:lineRule="auto"/>
              <w:jc w:val="left"/>
              <w:rPr>
                <w:rFonts w:ascii="宋体" w:hAnsi="宋体" w:cs="宋体"/>
                <w:kern w:val="0"/>
                <w:szCs w:val="21"/>
              </w:rPr>
            </w:pPr>
            <w:r>
              <w:rPr>
                <w:rFonts w:hint="eastAsia" w:ascii="宋体" w:hAnsi="宋体" w:cs="宋体"/>
                <w:kern w:val="0"/>
                <w:szCs w:val="21"/>
              </w:rPr>
              <w:t>（不含不可竞争费）</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ind w:firstLine="210" w:firstLineChars="100"/>
              <w:jc w:val="left"/>
              <w:rPr>
                <w:rFonts w:ascii="宋体" w:hAnsi="宋体" w:cs="宋体"/>
                <w:kern w:val="0"/>
                <w:szCs w:val="21"/>
              </w:rPr>
            </w:pPr>
            <w:r>
              <w:rPr>
                <w:rFonts w:hint="eastAsia" w:ascii="宋体" w:hAnsi="宋体" w:cs="宋体"/>
                <w:kern w:val="0"/>
                <w:szCs w:val="21"/>
              </w:rPr>
              <w:t>所有竞争性磋商供应商的投标报价均不得高于招标控制价，否则按废标处理。且以二次报价参与磋商报价评审。价格分统一采用低价优先法计算，即满足磋商文件要求且投标价格最低的磋商报价为磋商基准价，其价格分为满分（40 分）。其他供应商的价格分统一按照下列公式计算：</w:t>
            </w:r>
          </w:p>
          <w:p>
            <w:pPr>
              <w:tabs>
                <w:tab w:val="left" w:pos="0"/>
              </w:tabs>
              <w:spacing w:line="360" w:lineRule="auto"/>
              <w:jc w:val="left"/>
              <w:rPr>
                <w:rFonts w:ascii="宋体" w:hAnsi="宋体" w:cs="宋体"/>
                <w:kern w:val="0"/>
                <w:szCs w:val="21"/>
              </w:rPr>
            </w:pPr>
            <w:r>
              <w:rPr>
                <w:rFonts w:hint="eastAsia" w:ascii="宋体" w:hAnsi="宋体" w:cs="宋体"/>
                <w:kern w:val="0"/>
                <w:szCs w:val="21"/>
              </w:rPr>
              <w:t xml:space="preserve">最后磋商报价得分=(磋商基准价/最后磋商报价)×40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trPr>
        <w:tc>
          <w:tcPr>
            <w:tcW w:w="741"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2.2.4</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pStyle w:val="34"/>
              <w:spacing w:line="360" w:lineRule="auto"/>
              <w:jc w:val="center"/>
              <w:rPr>
                <w:rFonts w:hAnsi="宋体"/>
                <w:color w:val="auto"/>
                <w:sz w:val="21"/>
                <w:szCs w:val="21"/>
              </w:rPr>
            </w:pPr>
            <w:r>
              <w:rPr>
                <w:rFonts w:hint="eastAsia" w:hAnsi="宋体"/>
                <w:color w:val="auto"/>
                <w:sz w:val="21"/>
                <w:szCs w:val="21"/>
              </w:rPr>
              <w:t>综合（信用）标10分</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1．企业业绩0-6分</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tabs>
                <w:tab w:val="left" w:pos="315"/>
              </w:tabs>
              <w:spacing w:line="360" w:lineRule="auto"/>
              <w:rPr>
                <w:rFonts w:ascii="宋体" w:hAnsi="宋体" w:cs="宋体"/>
                <w:kern w:val="0"/>
                <w:szCs w:val="21"/>
              </w:rPr>
            </w:pPr>
            <w:r>
              <w:rPr>
                <w:rFonts w:hint="eastAsia" w:ascii="宋体" w:hAnsi="宋体" w:cs="宋体"/>
                <w:kern w:val="0"/>
                <w:szCs w:val="21"/>
              </w:rPr>
              <w:t>每提供一份2015年1月份以来的企业类似业绩得3分，最多得6分（</w:t>
            </w:r>
            <w:r>
              <w:rPr>
                <w:rFonts w:hint="eastAsia" w:ascii="宋体" w:hAnsi="宋体" w:cs="宋体"/>
                <w:szCs w:val="21"/>
              </w:rPr>
              <w:t>时间以合同签订时间为准</w:t>
            </w:r>
            <w:r>
              <w:rPr>
                <w:rFonts w:hint="eastAsia" w:ascii="宋体" w:hAnsi="宋体" w:cs="宋体"/>
                <w:kern w:val="0"/>
                <w:szCs w:val="21"/>
              </w:rPr>
              <w:t>，提供中标通知书、合同、竣工验收证明和中标信息查询网页）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trPr>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2、服务承诺0-4分</w:t>
            </w:r>
          </w:p>
        </w:tc>
        <w:tc>
          <w:tcPr>
            <w:tcW w:w="539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cs="宋体"/>
                <w:sz w:val="21"/>
                <w:szCs w:val="21"/>
              </w:rPr>
            </w:pPr>
            <w:r>
              <w:rPr>
                <w:rFonts w:hint="eastAsia" w:ascii="宋体" w:hAnsi="宋体" w:cs="宋体"/>
                <w:bCs/>
                <w:sz w:val="21"/>
                <w:szCs w:val="21"/>
              </w:rPr>
              <w:t>供应商针对本工程的特点和要求结合自身的条件和潜力，对施工现场安全生产、文明施工，对节假日、农忙季节时连续施工等方面的承诺。(评审小组在0-4分之间酌情打分，缺项为0分）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021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供应商综合得分=技术标得分＋商务标得分+综合（信用）标得分。</w:t>
            </w:r>
          </w:p>
          <w:p>
            <w:pPr>
              <w:spacing w:line="360" w:lineRule="auto"/>
              <w:rPr>
                <w:rFonts w:ascii="宋体" w:hAnsi="宋体" w:cs="宋体"/>
                <w:kern w:val="0"/>
                <w:szCs w:val="21"/>
              </w:rPr>
            </w:pPr>
            <w:r>
              <w:rPr>
                <w:rFonts w:hint="eastAsia" w:ascii="宋体" w:hAnsi="宋体" w:cs="宋体"/>
                <w:kern w:val="0"/>
                <w:szCs w:val="21"/>
              </w:rPr>
              <w:t>供应商的最终得分：</w:t>
            </w:r>
          </w:p>
          <w:p>
            <w:pPr>
              <w:spacing w:line="360" w:lineRule="auto"/>
              <w:rPr>
                <w:rFonts w:ascii="宋体" w:hAnsi="宋体" w:cs="宋体"/>
                <w:kern w:val="0"/>
                <w:szCs w:val="21"/>
              </w:rPr>
            </w:pPr>
            <w:r>
              <w:rPr>
                <w:rFonts w:hint="eastAsia" w:ascii="宋体" w:hAnsi="宋体" w:cs="宋体"/>
                <w:kern w:val="0"/>
                <w:szCs w:val="21"/>
              </w:rPr>
              <w:t>　　1．所有评审小组成员的评分汇总得分的算术平均值，作为该供应商的最终得分。</w:t>
            </w:r>
          </w:p>
          <w:p>
            <w:pPr>
              <w:spacing w:line="360" w:lineRule="auto"/>
              <w:ind w:firstLine="420" w:firstLineChars="200"/>
              <w:rPr>
                <w:rFonts w:ascii="宋体" w:hAnsi="宋体" w:cs="宋体"/>
                <w:kern w:val="0"/>
                <w:szCs w:val="21"/>
              </w:rPr>
            </w:pPr>
            <w:r>
              <w:rPr>
                <w:rFonts w:hint="eastAsia" w:ascii="宋体" w:hAnsi="宋体" w:cs="宋体"/>
                <w:kern w:val="0"/>
                <w:szCs w:val="21"/>
              </w:rPr>
              <w:t>2．本办法计算过程中分值按四舍五入保留三位小数，结果按四舍五入保留两位小数。</w:t>
            </w:r>
          </w:p>
        </w:tc>
      </w:tr>
    </w:tbl>
    <w:p>
      <w:pPr>
        <w:pStyle w:val="4"/>
        <w:spacing w:before="0" w:after="0"/>
        <w:jc w:val="both"/>
        <w:rPr>
          <w:rFonts w:ascii="宋体" w:hAnsi="宋体" w:cs="宋体"/>
          <w:color w:val="000000"/>
          <w:sz w:val="21"/>
          <w:szCs w:val="21"/>
        </w:rPr>
      </w:pPr>
      <w:bookmarkStart w:id="222" w:name="_Toc144974567"/>
      <w:bookmarkStart w:id="223" w:name="_Toc152042377"/>
      <w:bookmarkStart w:id="224" w:name="_Toc152045600"/>
      <w:bookmarkStart w:id="225" w:name="_Toc3161"/>
      <w:bookmarkStart w:id="226" w:name="_Toc16417"/>
      <w:bookmarkStart w:id="227" w:name="_Toc7756"/>
      <w:bookmarkStart w:id="228" w:name="_Toc27541"/>
      <w:bookmarkStart w:id="229" w:name="_Toc3725"/>
      <w:bookmarkStart w:id="230" w:name="_Toc2873"/>
      <w:bookmarkStart w:id="231" w:name="_Toc7080"/>
      <w:bookmarkStart w:id="232" w:name="_Toc247514024"/>
      <w:bookmarkStart w:id="233" w:name="_Toc14256"/>
      <w:bookmarkStart w:id="234" w:name="_Toc247527625"/>
      <w:bookmarkStart w:id="235" w:name="_Toc30588"/>
      <w:bookmarkStart w:id="236" w:name="_Toc2310"/>
      <w:bookmarkStart w:id="237" w:name="_Toc9825"/>
      <w:r>
        <w:rPr>
          <w:rFonts w:hint="eastAsia" w:ascii="宋体" w:hAnsi="宋体" w:cs="宋体"/>
          <w:color w:val="000000"/>
          <w:sz w:val="21"/>
          <w:szCs w:val="21"/>
        </w:rPr>
        <w:t>1.评标方法</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line="360" w:lineRule="auto"/>
        <w:ind w:firstLine="420" w:firstLineChars="200"/>
        <w:rPr>
          <w:rFonts w:ascii="宋体" w:hAnsi="宋体" w:cs="宋体"/>
          <w:color w:val="000000"/>
          <w:szCs w:val="21"/>
        </w:rPr>
      </w:pPr>
      <w:r>
        <w:rPr>
          <w:rFonts w:hint="eastAsia" w:ascii="宋体" w:hAnsi="宋体" w:cs="宋体"/>
          <w:color w:val="000000"/>
          <w:szCs w:val="21"/>
        </w:rPr>
        <w:t>本次评审采用综合评估法。评审小组对满足竞争性磋商文件实质性要求的响应文件，按照本章第2.2款规定的评分标准进行打分，并按得分由高到低顺序推荐中标候选人，或根据采购人授权直接确定中标人，但磋商报价低于其成本的除外。综合评分相等时，以磋商报价低的优先；磋商报价也相等的，由采购人或者经采购人授权评审小组自行确定。</w:t>
      </w:r>
    </w:p>
    <w:p>
      <w:pPr>
        <w:pStyle w:val="4"/>
        <w:spacing w:before="0" w:after="0"/>
        <w:jc w:val="both"/>
        <w:rPr>
          <w:rFonts w:ascii="宋体" w:hAnsi="宋体" w:cs="宋体"/>
          <w:color w:val="000000"/>
          <w:sz w:val="21"/>
          <w:szCs w:val="21"/>
        </w:rPr>
      </w:pPr>
      <w:bookmarkStart w:id="238" w:name="_Toc25159"/>
      <w:bookmarkStart w:id="239" w:name="_Toc152042378"/>
      <w:bookmarkStart w:id="240" w:name="_Toc19974"/>
      <w:bookmarkStart w:id="241" w:name="_Toc4133"/>
      <w:bookmarkStart w:id="242" w:name="_Toc144974568"/>
      <w:bookmarkStart w:id="243" w:name="_Toc247514025"/>
      <w:bookmarkStart w:id="244" w:name="_Toc25715"/>
      <w:bookmarkStart w:id="245" w:name="_Toc1144"/>
      <w:bookmarkStart w:id="246" w:name="_Toc27079"/>
      <w:bookmarkStart w:id="247" w:name="_Toc17843"/>
      <w:bookmarkStart w:id="248" w:name="_Toc20043"/>
      <w:bookmarkStart w:id="249" w:name="_Toc18169"/>
      <w:bookmarkStart w:id="250" w:name="_Toc17563"/>
      <w:bookmarkStart w:id="251" w:name="_Toc28292"/>
      <w:bookmarkStart w:id="252" w:name="_Toc152045601"/>
      <w:bookmarkStart w:id="253" w:name="_Toc247527626"/>
      <w:r>
        <w:rPr>
          <w:rFonts w:hint="eastAsia" w:ascii="宋体" w:hAnsi="宋体" w:cs="宋体"/>
          <w:color w:val="000000"/>
          <w:sz w:val="21"/>
          <w:szCs w:val="21"/>
        </w:rPr>
        <w:t>2.评审标准</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4"/>
        <w:spacing w:before="0" w:after="0"/>
        <w:jc w:val="both"/>
        <w:rPr>
          <w:rFonts w:ascii="宋体" w:hAnsi="宋体" w:cs="宋体"/>
          <w:color w:val="000000"/>
          <w:sz w:val="21"/>
          <w:szCs w:val="21"/>
        </w:rPr>
      </w:pPr>
      <w:bookmarkStart w:id="254" w:name="_Toc4467"/>
      <w:bookmarkStart w:id="255" w:name="_Toc144974569"/>
      <w:bookmarkStart w:id="256" w:name="_Toc19047"/>
      <w:bookmarkStart w:id="257" w:name="_Toc17772"/>
      <w:bookmarkStart w:id="258" w:name="_Toc27253"/>
      <w:bookmarkStart w:id="259" w:name="_Toc152042379"/>
      <w:bookmarkStart w:id="260" w:name="_Toc152045602"/>
      <w:bookmarkStart w:id="261" w:name="_Toc10174"/>
      <w:bookmarkStart w:id="262" w:name="_Toc247527627"/>
      <w:bookmarkStart w:id="263" w:name="_Toc247514026"/>
      <w:bookmarkStart w:id="264" w:name="_Toc23876"/>
      <w:bookmarkStart w:id="265" w:name="_Toc23885"/>
      <w:bookmarkStart w:id="266" w:name="_Toc22958"/>
      <w:bookmarkStart w:id="267" w:name="_Toc6252"/>
      <w:bookmarkStart w:id="268" w:name="_Toc32116"/>
      <w:bookmarkStart w:id="269" w:name="_Toc14960"/>
      <w:bookmarkStart w:id="270" w:name="_Toc29189"/>
      <w:r>
        <w:rPr>
          <w:rFonts w:hint="eastAsia" w:ascii="宋体" w:hAnsi="宋体" w:cs="宋体"/>
          <w:color w:val="000000"/>
          <w:sz w:val="21"/>
          <w:szCs w:val="21"/>
        </w:rPr>
        <w:t>2.1 初步评审标准</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360" w:lineRule="auto"/>
        <w:ind w:firstLine="420" w:firstLineChars="200"/>
        <w:rPr>
          <w:rFonts w:ascii="宋体" w:hAnsi="宋体" w:cs="宋体"/>
          <w:color w:val="000000"/>
          <w:szCs w:val="21"/>
        </w:rPr>
      </w:pPr>
      <w:r>
        <w:rPr>
          <w:rFonts w:hint="eastAsia" w:ascii="宋体" w:hAnsi="宋体" w:cs="宋体"/>
          <w:color w:val="000000"/>
          <w:szCs w:val="21"/>
        </w:rPr>
        <w:t>2.1.1 形式评审标准：见评审办法前附表。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2.1.2 资格评审标准：见评审办法前附表。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2.1.3 响应性评审标准：见评审办法前附表。</w:t>
      </w:r>
    </w:p>
    <w:p>
      <w:pPr>
        <w:pStyle w:val="5"/>
        <w:tabs>
          <w:tab w:val="left" w:pos="2940"/>
        </w:tabs>
        <w:spacing w:line="360" w:lineRule="auto"/>
        <w:jc w:val="both"/>
        <w:rPr>
          <w:rFonts w:ascii="宋体" w:hAnsi="宋体"/>
          <w:color w:val="000000"/>
          <w:sz w:val="21"/>
          <w:szCs w:val="21"/>
        </w:rPr>
      </w:pPr>
      <w:bookmarkStart w:id="271" w:name="_Toc152042380"/>
      <w:bookmarkStart w:id="272" w:name="_Toc247527628"/>
      <w:bookmarkStart w:id="273" w:name="_Toc2307"/>
      <w:bookmarkStart w:id="274" w:name="_Toc15308"/>
      <w:bookmarkStart w:id="275" w:name="_Toc28333"/>
      <w:bookmarkStart w:id="276" w:name="_Toc32151"/>
      <w:bookmarkStart w:id="277" w:name="_Toc9663"/>
      <w:bookmarkStart w:id="278" w:name="_Toc4869"/>
      <w:bookmarkStart w:id="279" w:name="_Toc152045603"/>
      <w:bookmarkStart w:id="280" w:name="_Toc18882"/>
      <w:bookmarkStart w:id="281" w:name="_Toc26044"/>
      <w:bookmarkStart w:id="282" w:name="_Toc4761"/>
      <w:bookmarkStart w:id="283" w:name="_Toc144974570"/>
      <w:bookmarkStart w:id="284" w:name="_Toc247514027"/>
      <w:bookmarkStart w:id="285" w:name="_Toc31351"/>
      <w:bookmarkStart w:id="286" w:name="_Toc3655"/>
      <w:bookmarkStart w:id="287" w:name="_Toc2105"/>
      <w:r>
        <w:rPr>
          <w:rFonts w:hint="eastAsia" w:ascii="宋体" w:hAnsi="宋体"/>
          <w:color w:val="000000"/>
          <w:sz w:val="21"/>
          <w:szCs w:val="21"/>
        </w:rPr>
        <w:t>2.2 分值构成与评分标准</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line="360" w:lineRule="auto"/>
        <w:ind w:firstLine="420" w:firstLineChars="200"/>
        <w:rPr>
          <w:rFonts w:ascii="宋体" w:hAnsi="宋体" w:cs="宋体"/>
          <w:color w:val="000000"/>
          <w:szCs w:val="21"/>
        </w:rPr>
      </w:pPr>
      <w:r>
        <w:rPr>
          <w:rFonts w:hint="eastAsia" w:ascii="宋体" w:hAnsi="宋体" w:cs="宋体"/>
          <w:color w:val="000000"/>
          <w:szCs w:val="21"/>
        </w:rPr>
        <w:t>2.2.1 分值构成：见评审办法前附表。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2.2.2 评分标准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（1）商务标：见评审办法前附表；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（2）技术标：见评审办法前附表；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（3）综合标：见评审办法前附表；</w:t>
      </w:r>
      <w:bookmarkStart w:id="288" w:name="_Toc911"/>
      <w:bookmarkStart w:id="289" w:name="_Toc6952"/>
      <w:bookmarkStart w:id="290" w:name="_Toc4901"/>
      <w:bookmarkStart w:id="291" w:name="_Toc144974571"/>
      <w:bookmarkStart w:id="292" w:name="_Toc152045604"/>
      <w:bookmarkStart w:id="293" w:name="_Toc247514028"/>
      <w:bookmarkStart w:id="294" w:name="_Toc247527629"/>
      <w:bookmarkStart w:id="295" w:name="_Toc152042381"/>
      <w:bookmarkStart w:id="296" w:name="_Toc3566"/>
      <w:bookmarkStart w:id="297" w:name="_Toc41"/>
      <w:bookmarkStart w:id="298" w:name="_Toc18084"/>
      <w:bookmarkStart w:id="299" w:name="_Toc20326"/>
      <w:bookmarkStart w:id="300" w:name="_Toc22903"/>
      <w:bookmarkStart w:id="301" w:name="_Toc1506"/>
      <w:bookmarkStart w:id="302" w:name="_Toc1225"/>
      <w:bookmarkStart w:id="303" w:name="_Toc30014"/>
    </w:p>
    <w:p>
      <w:pPr>
        <w:spacing w:line="360" w:lineRule="auto"/>
        <w:ind w:firstLine="420" w:firstLineChars="200"/>
        <w:rPr>
          <w:rFonts w:ascii="宋体" w:hAnsi="宋体" w:cs="宋体"/>
          <w:color w:val="000000"/>
          <w:szCs w:val="21"/>
        </w:rPr>
      </w:pPr>
      <w:r>
        <w:rPr>
          <w:rFonts w:hint="eastAsia" w:ascii="宋体" w:hAnsi="宋体" w:cs="宋体"/>
          <w:color w:val="000000"/>
          <w:szCs w:val="21"/>
        </w:rPr>
        <w:t>3.评标程序</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5"/>
        <w:tabs>
          <w:tab w:val="left" w:pos="2940"/>
        </w:tabs>
        <w:spacing w:before="0" w:after="0" w:line="360" w:lineRule="auto"/>
        <w:jc w:val="both"/>
        <w:rPr>
          <w:rFonts w:ascii="宋体" w:hAnsi="宋体"/>
          <w:color w:val="000000"/>
          <w:sz w:val="21"/>
          <w:szCs w:val="21"/>
        </w:rPr>
      </w:pPr>
      <w:bookmarkStart w:id="304" w:name="_Toc152042382"/>
      <w:bookmarkStart w:id="305" w:name="_Toc2179"/>
      <w:bookmarkStart w:id="306" w:name="_Toc144974572"/>
      <w:bookmarkStart w:id="307" w:name="_Toc7995"/>
      <w:bookmarkStart w:id="308" w:name="_Toc19054"/>
      <w:bookmarkStart w:id="309" w:name="_Toc7328"/>
      <w:bookmarkStart w:id="310" w:name="_Toc29858"/>
      <w:bookmarkStart w:id="311" w:name="_Toc7603"/>
      <w:bookmarkStart w:id="312" w:name="_Toc22971"/>
      <w:bookmarkStart w:id="313" w:name="_Toc12374"/>
      <w:bookmarkStart w:id="314" w:name="_Toc247527630"/>
      <w:bookmarkStart w:id="315" w:name="_Toc5006"/>
      <w:bookmarkStart w:id="316" w:name="_Toc3149"/>
      <w:bookmarkStart w:id="317" w:name="_Toc152045605"/>
      <w:bookmarkStart w:id="318" w:name="_Toc247514029"/>
      <w:bookmarkStart w:id="319" w:name="_Toc17955"/>
      <w:r>
        <w:rPr>
          <w:rFonts w:hint="eastAsia" w:ascii="宋体" w:hAnsi="宋体"/>
          <w:color w:val="000000"/>
          <w:sz w:val="21"/>
          <w:szCs w:val="21"/>
        </w:rPr>
        <w:t>3.1 初步评审</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spacing w:line="360" w:lineRule="auto"/>
        <w:ind w:firstLine="420" w:firstLineChars="200"/>
        <w:rPr>
          <w:rFonts w:ascii="宋体" w:hAnsi="宋体" w:cs="宋体"/>
          <w:color w:val="000000"/>
          <w:szCs w:val="21"/>
        </w:rPr>
      </w:pPr>
      <w:r>
        <w:rPr>
          <w:rFonts w:hint="eastAsia" w:ascii="宋体" w:hAnsi="宋体" w:cs="宋体"/>
          <w:color w:val="000000"/>
          <w:szCs w:val="21"/>
        </w:rPr>
        <w:t>3.1.1 评审小组依据本章第2.1款规定的标准对响应文件进行初步评审。有一项不符合评审标准的，评审小组应当否决其投标。</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3.1.2供应商有以下情形之一的，评审小组应当否决其投标：</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（1）串通投标或弄虚作假或有其他违法行为的；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（2）不按评审小组要求澄清、说明或补正的。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3.1.3 投标报价有算术错误的，评审小组按以下原则对投标报价进行修正，修正的价格经供应商书面确认后具有约束力。供应商不接受修正价格的，评审小组应当否决其投标。</w:t>
      </w:r>
    </w:p>
    <w:p>
      <w:pPr>
        <w:spacing w:line="360" w:lineRule="auto"/>
        <w:ind w:firstLine="420" w:firstLineChars="200"/>
        <w:rPr>
          <w:rFonts w:ascii="宋体" w:hAnsi="宋体" w:cs="宋体"/>
          <w:color w:val="000000"/>
          <w:szCs w:val="21"/>
        </w:rPr>
      </w:pPr>
      <w:bookmarkStart w:id="320" w:name="_Toc152042383"/>
      <w:r>
        <w:rPr>
          <w:rFonts w:hint="eastAsia" w:ascii="宋体" w:hAnsi="宋体" w:cs="宋体"/>
          <w:color w:val="000000"/>
          <w:szCs w:val="21"/>
        </w:rPr>
        <w:t>（1）响应文件中的大写金额与小写金额不一致的，以大写金额为准；</w:t>
      </w:r>
      <w:bookmarkEnd w:id="320"/>
    </w:p>
    <w:p>
      <w:pPr>
        <w:spacing w:line="360" w:lineRule="auto"/>
        <w:ind w:firstLine="420" w:firstLineChars="200"/>
        <w:rPr>
          <w:rFonts w:ascii="宋体" w:hAnsi="宋体" w:cs="宋体"/>
          <w:color w:val="000000"/>
          <w:szCs w:val="21"/>
        </w:rPr>
      </w:pPr>
      <w:r>
        <w:rPr>
          <w:rFonts w:hint="eastAsia" w:ascii="宋体" w:hAnsi="宋体" w:cs="宋体"/>
          <w:color w:val="000000"/>
          <w:szCs w:val="21"/>
        </w:rPr>
        <w:t>（2）总价金额与依据单价计算出的结果不一致的，以单价金额为准修正总价，但单价金额小数点有明显错误的除外。</w:t>
      </w:r>
    </w:p>
    <w:p>
      <w:pPr>
        <w:pStyle w:val="5"/>
        <w:tabs>
          <w:tab w:val="left" w:pos="2940"/>
        </w:tabs>
        <w:spacing w:before="0" w:after="0" w:line="360" w:lineRule="auto"/>
        <w:jc w:val="both"/>
        <w:rPr>
          <w:rFonts w:ascii="宋体" w:hAnsi="宋体"/>
          <w:color w:val="000000"/>
          <w:sz w:val="21"/>
          <w:szCs w:val="21"/>
        </w:rPr>
      </w:pPr>
      <w:bookmarkStart w:id="321" w:name="_Toc4092"/>
      <w:bookmarkStart w:id="322" w:name="_Toc19139"/>
      <w:bookmarkStart w:id="323" w:name="_Toc247527631"/>
      <w:bookmarkStart w:id="324" w:name="_Toc16739"/>
      <w:bookmarkStart w:id="325" w:name="_Toc5515"/>
      <w:bookmarkStart w:id="326" w:name="_Toc152045606"/>
      <w:bookmarkStart w:id="327" w:name="_Toc144974573"/>
      <w:bookmarkStart w:id="328" w:name="_Toc247514030"/>
      <w:bookmarkStart w:id="329" w:name="_Toc5932"/>
      <w:bookmarkStart w:id="330" w:name="_Toc20992"/>
      <w:bookmarkStart w:id="331" w:name="_Toc19428"/>
      <w:bookmarkStart w:id="332" w:name="_Toc233"/>
      <w:bookmarkStart w:id="333" w:name="_Toc30438"/>
      <w:bookmarkStart w:id="334" w:name="_Toc18544"/>
      <w:bookmarkStart w:id="335" w:name="_Toc26331"/>
      <w:bookmarkStart w:id="336" w:name="_Toc152042384"/>
      <w:bookmarkStart w:id="337" w:name="_Toc31088"/>
      <w:r>
        <w:rPr>
          <w:rFonts w:hint="eastAsia" w:ascii="宋体" w:hAnsi="宋体"/>
          <w:color w:val="000000"/>
          <w:sz w:val="21"/>
          <w:szCs w:val="21"/>
        </w:rPr>
        <w:t>3.2 详细评审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360" w:lineRule="auto"/>
        <w:ind w:firstLine="420" w:firstLineChars="200"/>
        <w:rPr>
          <w:rFonts w:ascii="宋体" w:hAnsi="宋体" w:cs="宋体"/>
          <w:color w:val="000000"/>
          <w:szCs w:val="21"/>
        </w:rPr>
      </w:pPr>
      <w:r>
        <w:rPr>
          <w:rFonts w:hint="eastAsia" w:ascii="宋体" w:hAnsi="宋体" w:cs="宋体"/>
          <w:color w:val="000000"/>
          <w:szCs w:val="21"/>
        </w:rPr>
        <w:t>3.2.1 评审小组按前附表规定的量化因素和分值进行打分并计算出得分。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3.2.2 评分分值计算保留小数点后两位，小数点后第三位“四舍五入”。</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3.2.3 供应商最终得分等于所有评委得分的算术平均值。</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3.2.4 评审小组发现供应商的报价明显低于其他投标报价，或者在设有标底时明显低于标底，使得其磋商报价可能低于其个别成本的，应当要求该供应商作出书面说明并提供相应的证明材料。供应商不能合理说明或者不能提供相应证明材料的，评审小组应当认定该供应商以低于成本报价竞标，否决其投标。</w:t>
      </w:r>
    </w:p>
    <w:p>
      <w:pPr>
        <w:pStyle w:val="5"/>
        <w:tabs>
          <w:tab w:val="left" w:pos="2940"/>
        </w:tabs>
        <w:spacing w:before="0" w:after="0" w:line="360" w:lineRule="auto"/>
        <w:jc w:val="both"/>
        <w:rPr>
          <w:rFonts w:ascii="宋体" w:hAnsi="宋体"/>
          <w:color w:val="000000"/>
          <w:sz w:val="21"/>
          <w:szCs w:val="21"/>
        </w:rPr>
      </w:pPr>
      <w:bookmarkStart w:id="338" w:name="_Toc144974575"/>
      <w:bookmarkStart w:id="339" w:name="_Toc152045607"/>
      <w:bookmarkStart w:id="340" w:name="_Toc20987"/>
      <w:bookmarkStart w:id="341" w:name="_Toc345"/>
      <w:bookmarkStart w:id="342" w:name="_Toc152042385"/>
      <w:bookmarkStart w:id="343" w:name="_Toc247514031"/>
      <w:bookmarkStart w:id="344" w:name="_Toc7989"/>
      <w:bookmarkStart w:id="345" w:name="_Toc19965"/>
      <w:bookmarkStart w:id="346" w:name="_Toc9207"/>
      <w:bookmarkStart w:id="347" w:name="_Toc19331"/>
      <w:bookmarkStart w:id="348" w:name="_Toc24926"/>
      <w:bookmarkStart w:id="349" w:name="_Toc22808"/>
      <w:bookmarkStart w:id="350" w:name="_Toc247527632"/>
      <w:bookmarkStart w:id="351" w:name="_Toc4339"/>
      <w:bookmarkStart w:id="352" w:name="_Toc21287"/>
      <w:bookmarkStart w:id="353" w:name="_Toc20199"/>
      <w:r>
        <w:rPr>
          <w:rFonts w:hint="eastAsia" w:ascii="宋体" w:hAnsi="宋体"/>
          <w:color w:val="000000"/>
          <w:sz w:val="21"/>
          <w:szCs w:val="21"/>
        </w:rPr>
        <w:t>3.3 响应文件的澄清</w:t>
      </w:r>
      <w:bookmarkEnd w:id="338"/>
      <w:r>
        <w:rPr>
          <w:rFonts w:hint="eastAsia" w:ascii="宋体" w:hAnsi="宋体"/>
          <w:color w:val="000000"/>
          <w:sz w:val="21"/>
          <w:szCs w:val="21"/>
        </w:rPr>
        <w:t>和补正</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360" w:lineRule="auto"/>
        <w:ind w:firstLine="420" w:firstLineChars="200"/>
        <w:rPr>
          <w:rFonts w:ascii="宋体" w:hAnsi="宋体" w:cs="宋体"/>
          <w:color w:val="000000"/>
          <w:szCs w:val="21"/>
        </w:rPr>
      </w:pPr>
      <w:r>
        <w:rPr>
          <w:rFonts w:hint="eastAsia" w:ascii="宋体" w:hAnsi="宋体" w:cs="宋体"/>
          <w:color w:val="000000"/>
          <w:szCs w:val="21"/>
        </w:rPr>
        <w:t>3.3.1 在评标过程中，评审小组可以书面形式要求供应商对所提交响应文件中不明确的内容进行书面澄清或说明，或者对细微偏差进行补正。评审小组不接受供应商主动提出的澄清、说明或补正。</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3.3.2 澄清、说明和补正不得改变响应文件的实质性内容。供应商的澄清、说明和补正属于响应文件的组成部分。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3.3.3 评审小组对供应商提交的澄清、说明或补正有疑问的，可以要求供应商进一步澄清、说明或补正，直至满足评审小组的要求。</w:t>
      </w:r>
    </w:p>
    <w:p>
      <w:pPr>
        <w:pStyle w:val="5"/>
        <w:tabs>
          <w:tab w:val="left" w:pos="2940"/>
        </w:tabs>
        <w:spacing w:before="0" w:after="0" w:line="360" w:lineRule="auto"/>
        <w:jc w:val="both"/>
        <w:rPr>
          <w:rFonts w:ascii="宋体" w:hAnsi="宋体"/>
          <w:color w:val="000000"/>
          <w:sz w:val="21"/>
          <w:szCs w:val="21"/>
        </w:rPr>
      </w:pPr>
      <w:bookmarkStart w:id="354" w:name="_Toc32679"/>
      <w:bookmarkStart w:id="355" w:name="_Toc13435"/>
      <w:bookmarkStart w:id="356" w:name="_Toc14163"/>
      <w:bookmarkStart w:id="357" w:name="_Toc20976"/>
      <w:bookmarkStart w:id="358" w:name="_Toc4257"/>
      <w:bookmarkStart w:id="359" w:name="_Toc32023"/>
      <w:bookmarkStart w:id="360" w:name="_Toc152045608"/>
      <w:bookmarkStart w:id="361" w:name="_Toc15036"/>
      <w:bookmarkStart w:id="362" w:name="_Toc18541"/>
      <w:bookmarkStart w:id="363" w:name="_Toc144974576"/>
      <w:bookmarkStart w:id="364" w:name="_Toc152042386"/>
      <w:bookmarkStart w:id="365" w:name="_Toc247527633"/>
      <w:bookmarkStart w:id="366" w:name="_Toc25748"/>
      <w:bookmarkStart w:id="367" w:name="_Toc17556"/>
      <w:bookmarkStart w:id="368" w:name="_Toc887"/>
      <w:bookmarkStart w:id="369" w:name="_Toc28025"/>
      <w:bookmarkStart w:id="370" w:name="_Toc247514032"/>
      <w:r>
        <w:rPr>
          <w:rFonts w:hint="eastAsia" w:ascii="宋体" w:hAnsi="宋体"/>
          <w:color w:val="000000"/>
          <w:sz w:val="21"/>
          <w:szCs w:val="21"/>
        </w:rPr>
        <w:t>3.4 评标结果</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360" w:lineRule="auto"/>
        <w:ind w:firstLine="420" w:firstLineChars="200"/>
        <w:rPr>
          <w:rFonts w:ascii="宋体" w:hAnsi="宋体" w:cs="宋体"/>
          <w:color w:val="000000"/>
          <w:szCs w:val="21"/>
        </w:rPr>
      </w:pPr>
      <w:r>
        <w:rPr>
          <w:rFonts w:hint="eastAsia" w:ascii="宋体" w:hAnsi="宋体" w:cs="宋体"/>
          <w:color w:val="000000"/>
          <w:szCs w:val="21"/>
        </w:rPr>
        <w:t>3.4.1 除第二章“磋商须知”前附表授权直接确定成交人外，评审小组按照得分由高到低的顺序推荐成交候选人。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3.4.2 评审小组完成评标后，应当向采购人提交书面评审报告。                           </w:t>
      </w:r>
    </w:p>
    <w:p>
      <w:pPr>
        <w:jc w:val="center"/>
        <w:outlineLvl w:val="0"/>
        <w:rPr>
          <w:rStyle w:val="36"/>
          <w:sz w:val="36"/>
          <w:szCs w:val="36"/>
        </w:rPr>
      </w:pPr>
      <w:r>
        <w:rPr>
          <w:rStyle w:val="36"/>
          <w:sz w:val="36"/>
          <w:szCs w:val="36"/>
        </w:rPr>
        <w:br w:type="page"/>
      </w:r>
      <w:bookmarkStart w:id="371" w:name="_Toc1416"/>
      <w:bookmarkStart w:id="372" w:name="_Toc2165"/>
      <w:bookmarkStart w:id="373" w:name="_Toc10354"/>
      <w:bookmarkStart w:id="374" w:name="_Toc8597"/>
      <w:bookmarkStart w:id="375" w:name="_Toc21185"/>
      <w:bookmarkStart w:id="376" w:name="_Toc29827"/>
      <w:r>
        <w:rPr>
          <w:rStyle w:val="36"/>
          <w:rFonts w:hint="eastAsia"/>
          <w:sz w:val="36"/>
          <w:szCs w:val="36"/>
        </w:rPr>
        <w:t>第四章</w:t>
      </w:r>
      <w:r>
        <w:rPr>
          <w:rStyle w:val="36"/>
          <w:sz w:val="36"/>
          <w:szCs w:val="36"/>
        </w:rPr>
        <w:t xml:space="preserve">  </w:t>
      </w:r>
      <w:r>
        <w:rPr>
          <w:rStyle w:val="36"/>
          <w:rFonts w:hint="eastAsia"/>
          <w:sz w:val="36"/>
          <w:szCs w:val="36"/>
        </w:rPr>
        <w:t>图纸及工程量清单</w:t>
      </w:r>
      <w:bookmarkEnd w:id="212"/>
      <w:bookmarkEnd w:id="213"/>
      <w:bookmarkEnd w:id="214"/>
      <w:bookmarkEnd w:id="215"/>
      <w:bookmarkEnd w:id="216"/>
      <w:bookmarkEnd w:id="217"/>
      <w:bookmarkEnd w:id="218"/>
      <w:bookmarkEnd w:id="219"/>
      <w:bookmarkEnd w:id="220"/>
      <w:bookmarkEnd w:id="221"/>
      <w:bookmarkEnd w:id="371"/>
      <w:bookmarkEnd w:id="372"/>
      <w:bookmarkEnd w:id="373"/>
      <w:bookmarkEnd w:id="374"/>
      <w:bookmarkEnd w:id="375"/>
      <w:bookmarkEnd w:id="376"/>
    </w:p>
    <w:p>
      <w:pPr>
        <w:spacing w:line="420" w:lineRule="exact"/>
        <w:rPr>
          <w:rFonts w:ascii="宋体" w:hAnsi="宋体" w:cs="宋体"/>
          <w:spacing w:val="10"/>
          <w:sz w:val="22"/>
          <w:szCs w:val="22"/>
        </w:rPr>
      </w:pPr>
    </w:p>
    <w:p>
      <w:pPr>
        <w:spacing w:line="420" w:lineRule="exact"/>
        <w:jc w:val="center"/>
        <w:rPr>
          <w:rFonts w:ascii="宋体" w:hAnsi="宋体" w:cs="宋体"/>
          <w:spacing w:val="10"/>
          <w:sz w:val="22"/>
          <w:szCs w:val="22"/>
        </w:rPr>
      </w:pPr>
      <w:r>
        <w:rPr>
          <w:rFonts w:hint="eastAsia" w:ascii="宋体" w:hAnsi="宋体" w:cs="宋体"/>
          <w:spacing w:val="10"/>
          <w:sz w:val="22"/>
          <w:szCs w:val="22"/>
        </w:rPr>
        <w:t>详见附件，请自行下载。</w:t>
      </w:r>
    </w:p>
    <w:p/>
    <w:p/>
    <w:p/>
    <w:p/>
    <w:p>
      <w:pPr>
        <w:pStyle w:val="3"/>
        <w:spacing w:line="240" w:lineRule="auto"/>
        <w:rPr>
          <w:szCs w:val="32"/>
        </w:rPr>
      </w:pPr>
      <w:bookmarkStart w:id="377" w:name="_Toc460517780"/>
      <w:bookmarkStart w:id="378" w:name="_Toc465325842"/>
      <w:bookmarkStart w:id="379" w:name="_Toc20086"/>
      <w:bookmarkStart w:id="380" w:name="_Toc460517737"/>
      <w:bookmarkStart w:id="381" w:name="_Toc5646"/>
      <w:bookmarkStart w:id="382" w:name="_Toc373253031"/>
    </w:p>
    <w:p>
      <w:pPr>
        <w:pStyle w:val="33"/>
        <w:rPr>
          <w:rStyle w:val="36"/>
          <w:rFonts w:ascii="宋体" w:hAnsi="宋体"/>
          <w:b/>
          <w:bCs/>
          <w:sz w:val="36"/>
          <w:szCs w:val="36"/>
        </w:rPr>
      </w:pPr>
      <w:r>
        <w:rPr>
          <w:rFonts w:hint="eastAsia"/>
          <w:szCs w:val="32"/>
        </w:rPr>
        <w:br w:type="page"/>
      </w:r>
      <w:bookmarkEnd w:id="377"/>
      <w:bookmarkEnd w:id="378"/>
      <w:bookmarkEnd w:id="379"/>
      <w:bookmarkEnd w:id="380"/>
      <w:bookmarkEnd w:id="381"/>
      <w:bookmarkEnd w:id="382"/>
      <w:bookmarkStart w:id="383" w:name="_Toc14384"/>
      <w:bookmarkStart w:id="384" w:name="_Toc29923"/>
      <w:bookmarkStart w:id="385" w:name="_Toc6546"/>
      <w:bookmarkStart w:id="386" w:name="_Toc23031"/>
      <w:bookmarkStart w:id="387" w:name="_Toc14061"/>
      <w:bookmarkStart w:id="388" w:name="_Toc2572"/>
      <w:bookmarkStart w:id="389" w:name="_Toc31836"/>
      <w:bookmarkStart w:id="390" w:name="_Toc23342"/>
      <w:bookmarkStart w:id="391" w:name="_Toc20549"/>
      <w:bookmarkStart w:id="392" w:name="_Toc8904"/>
      <w:bookmarkStart w:id="393" w:name="_Toc6720"/>
      <w:bookmarkStart w:id="394" w:name="_Toc8901"/>
      <w:bookmarkStart w:id="395" w:name="_Toc1630"/>
      <w:bookmarkStart w:id="396" w:name="_Toc29293"/>
      <w:bookmarkStart w:id="397" w:name="_Toc27994"/>
      <w:bookmarkStart w:id="398" w:name="_Toc6132"/>
      <w:r>
        <w:rPr>
          <w:rStyle w:val="36"/>
          <w:rFonts w:hint="eastAsia" w:ascii="宋体" w:hAnsi="宋体"/>
          <w:b/>
          <w:bCs/>
          <w:sz w:val="36"/>
          <w:szCs w:val="36"/>
        </w:rPr>
        <w:t>第五章  合同条款及格式</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spacing w:after="187" w:afterLines="60" w:line="400" w:lineRule="exact"/>
        <w:rPr>
          <w:rFonts w:cs="宋体"/>
          <w:szCs w:val="21"/>
          <w:u w:val="single"/>
        </w:rPr>
      </w:pPr>
      <w:r>
        <w:rPr>
          <w:rFonts w:hint="eastAsia" w:ascii="宋体" w:eastAsia="黑体"/>
          <w:szCs w:val="21"/>
        </w:rPr>
        <w:t xml:space="preserve">  </w:t>
      </w:r>
      <w:r>
        <w:rPr>
          <w:rFonts w:hint="eastAsia" w:ascii="宋体" w:eastAsia="黑体"/>
          <w:sz w:val="24"/>
        </w:rPr>
        <w:t xml:space="preserve">  </w:t>
      </w:r>
      <w:r>
        <w:rPr>
          <w:rFonts w:hint="eastAsia" w:ascii="宋体" w:hAnsi="宋体" w:cs="宋体"/>
          <w:szCs w:val="21"/>
        </w:rPr>
        <w:t xml:space="preserve"> 参照《建设工程施工合同（示范文本）》（GF-2017-0201），由采购人人与中标单位协商拟定。</w:t>
      </w:r>
    </w:p>
    <w:p>
      <w:pPr>
        <w:pStyle w:val="8"/>
        <w:spacing w:line="360" w:lineRule="auto"/>
        <w:ind w:firstLine="1800"/>
        <w:rPr>
          <w:rFonts w:cs="宋体"/>
        </w:rPr>
      </w:pPr>
      <w:r>
        <w:rPr>
          <w:rFonts w:hint="eastAsia"/>
        </w:rPr>
        <w:br w:type="page"/>
      </w:r>
    </w:p>
    <w:p>
      <w:pPr>
        <w:pStyle w:val="3"/>
        <w:rPr>
          <w:sz w:val="36"/>
          <w:szCs w:val="36"/>
        </w:rPr>
      </w:pPr>
      <w:bookmarkStart w:id="399" w:name="_Toc25985"/>
      <w:bookmarkStart w:id="400" w:name="_Toc17244"/>
      <w:bookmarkStart w:id="401" w:name="_Toc29595"/>
      <w:bookmarkStart w:id="402" w:name="_Toc6925"/>
      <w:bookmarkStart w:id="403" w:name="_Toc20288"/>
      <w:bookmarkStart w:id="404" w:name="_Toc8917"/>
      <w:bookmarkStart w:id="405" w:name="_Toc5753"/>
      <w:bookmarkStart w:id="406" w:name="_Toc26956"/>
      <w:bookmarkStart w:id="407" w:name="_Toc8749"/>
      <w:bookmarkStart w:id="408" w:name="_Toc15621"/>
      <w:bookmarkStart w:id="409" w:name="_Toc20690"/>
      <w:bookmarkStart w:id="410" w:name="_Toc2226"/>
      <w:bookmarkStart w:id="411" w:name="_Toc32035"/>
      <w:bookmarkStart w:id="412" w:name="_Toc26143"/>
      <w:bookmarkStart w:id="413" w:name="_Toc24694"/>
      <w:bookmarkStart w:id="414" w:name="_Toc9480"/>
      <w:r>
        <w:rPr>
          <w:rFonts w:hint="eastAsia"/>
          <w:sz w:val="36"/>
          <w:szCs w:val="36"/>
        </w:rPr>
        <w:t>第六章</w:t>
      </w:r>
      <w:r>
        <w:rPr>
          <w:sz w:val="36"/>
          <w:szCs w:val="36"/>
        </w:rPr>
        <w:t xml:space="preserve">  </w:t>
      </w:r>
      <w:r>
        <w:rPr>
          <w:rFonts w:hint="eastAsia"/>
          <w:sz w:val="36"/>
          <w:szCs w:val="36"/>
        </w:rPr>
        <w:t>磋商响应文件格式</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jc w:val="center"/>
        <w:rPr>
          <w:rFonts w:ascii="宋体" w:hAnsi="宋体" w:cs="宋体"/>
          <w:sz w:val="28"/>
          <w:szCs w:val="28"/>
          <w:u w:val="single"/>
        </w:rPr>
      </w:pPr>
    </w:p>
    <w:p>
      <w:pPr>
        <w:jc w:val="center"/>
        <w:rPr>
          <w:rFonts w:ascii="宋体" w:hAnsi="宋体" w:cs="宋体"/>
          <w:sz w:val="28"/>
          <w:szCs w:val="28"/>
          <w:u w:val="single"/>
        </w:rPr>
      </w:pPr>
    </w:p>
    <w:p>
      <w:pPr>
        <w:jc w:val="center"/>
        <w:rPr>
          <w:rFonts w:ascii="宋体" w:hAnsi="宋体" w:cs="宋体"/>
          <w:sz w:val="20"/>
          <w:szCs w:val="20"/>
        </w:rPr>
      </w:pPr>
      <w:r>
        <w:rPr>
          <w:rFonts w:hint="eastAsia" w:ascii="宋体" w:hAnsi="宋体" w:cs="宋体"/>
          <w:sz w:val="28"/>
          <w:szCs w:val="28"/>
          <w:u w:val="single"/>
        </w:rPr>
        <w:t xml:space="preserve">                              （项目名称）</w:t>
      </w:r>
    </w:p>
    <w:p>
      <w:pPr>
        <w:rPr>
          <w:rFonts w:ascii="宋体" w:hAnsi="宋体" w:cs="宋体"/>
          <w:sz w:val="20"/>
          <w:szCs w:val="20"/>
        </w:rPr>
      </w:pPr>
    </w:p>
    <w:p>
      <w:pPr>
        <w:jc w:val="center"/>
        <w:rPr>
          <w:rFonts w:ascii="宋体" w:hAnsi="宋体" w:cs="宋体"/>
          <w:sz w:val="28"/>
          <w:szCs w:val="28"/>
        </w:rPr>
      </w:pPr>
    </w:p>
    <w:p>
      <w:pPr>
        <w:jc w:val="center"/>
        <w:rPr>
          <w:rFonts w:ascii="宋体" w:hAnsi="宋体" w:cs="宋体"/>
          <w:sz w:val="44"/>
          <w:szCs w:val="44"/>
        </w:rPr>
      </w:pPr>
    </w:p>
    <w:p>
      <w:pPr>
        <w:jc w:val="center"/>
        <w:rPr>
          <w:rFonts w:ascii="宋体" w:hAnsi="宋体" w:cs="宋体"/>
          <w:sz w:val="72"/>
          <w:szCs w:val="72"/>
        </w:rPr>
      </w:pPr>
      <w:r>
        <w:rPr>
          <w:rFonts w:hint="eastAsia" w:ascii="宋体" w:hAnsi="宋体" w:cs="宋体"/>
          <w:sz w:val="72"/>
          <w:szCs w:val="72"/>
        </w:rPr>
        <w:t>响</w:t>
      </w:r>
    </w:p>
    <w:p>
      <w:pPr>
        <w:jc w:val="center"/>
        <w:rPr>
          <w:rFonts w:ascii="宋体" w:hAnsi="宋体" w:cs="宋体"/>
          <w:sz w:val="72"/>
          <w:szCs w:val="72"/>
        </w:rPr>
      </w:pPr>
    </w:p>
    <w:p>
      <w:pPr>
        <w:jc w:val="center"/>
        <w:rPr>
          <w:rFonts w:ascii="宋体" w:hAnsi="宋体" w:cs="宋体"/>
          <w:sz w:val="72"/>
          <w:szCs w:val="72"/>
        </w:rPr>
      </w:pPr>
      <w:r>
        <w:rPr>
          <w:rFonts w:hint="eastAsia" w:ascii="宋体" w:hAnsi="宋体" w:cs="宋体"/>
          <w:sz w:val="72"/>
          <w:szCs w:val="72"/>
        </w:rPr>
        <w:t xml:space="preserve">应 </w:t>
      </w:r>
    </w:p>
    <w:p>
      <w:pPr>
        <w:jc w:val="center"/>
        <w:rPr>
          <w:rFonts w:ascii="宋体" w:hAnsi="宋体" w:cs="宋体"/>
          <w:sz w:val="72"/>
          <w:szCs w:val="72"/>
        </w:rPr>
      </w:pPr>
      <w:r>
        <w:rPr>
          <w:rFonts w:hint="eastAsia" w:ascii="宋体" w:hAnsi="宋体" w:cs="宋体"/>
          <w:sz w:val="72"/>
          <w:szCs w:val="72"/>
        </w:rPr>
        <w:t xml:space="preserve"> </w:t>
      </w:r>
    </w:p>
    <w:p>
      <w:pPr>
        <w:jc w:val="center"/>
        <w:rPr>
          <w:rFonts w:ascii="宋体" w:hAnsi="宋体" w:cs="宋体"/>
          <w:sz w:val="72"/>
          <w:szCs w:val="72"/>
        </w:rPr>
      </w:pPr>
      <w:r>
        <w:rPr>
          <w:rFonts w:hint="eastAsia" w:ascii="宋体" w:hAnsi="宋体" w:cs="宋体"/>
          <w:sz w:val="72"/>
          <w:szCs w:val="72"/>
        </w:rPr>
        <w:t xml:space="preserve">文 </w:t>
      </w:r>
    </w:p>
    <w:p>
      <w:pPr>
        <w:jc w:val="center"/>
        <w:rPr>
          <w:rFonts w:ascii="宋体" w:hAnsi="宋体" w:cs="宋体"/>
          <w:sz w:val="72"/>
          <w:szCs w:val="72"/>
        </w:rPr>
      </w:pPr>
      <w:r>
        <w:rPr>
          <w:rFonts w:hint="eastAsia" w:ascii="宋体" w:hAnsi="宋体" w:cs="宋体"/>
          <w:sz w:val="72"/>
          <w:szCs w:val="72"/>
        </w:rPr>
        <w:t xml:space="preserve"> </w:t>
      </w:r>
    </w:p>
    <w:p>
      <w:pPr>
        <w:jc w:val="center"/>
        <w:rPr>
          <w:rFonts w:ascii="宋体" w:hAnsi="宋体" w:cs="宋体"/>
          <w:sz w:val="44"/>
          <w:szCs w:val="44"/>
        </w:rPr>
      </w:pPr>
      <w:r>
        <w:rPr>
          <w:rFonts w:hint="eastAsia" w:ascii="宋体" w:hAnsi="宋体" w:cs="宋体"/>
          <w:sz w:val="72"/>
          <w:szCs w:val="72"/>
        </w:rPr>
        <w:t>件</w:t>
      </w:r>
    </w:p>
    <w:p>
      <w:pPr>
        <w:rPr>
          <w:rFonts w:ascii="宋体" w:hAnsi="宋体" w:cs="宋体"/>
          <w:sz w:val="28"/>
          <w:szCs w:val="28"/>
        </w:rPr>
      </w:pPr>
    </w:p>
    <w:p>
      <w:pPr>
        <w:rPr>
          <w:rFonts w:ascii="宋体" w:hAnsi="宋体" w:cs="宋体"/>
          <w:sz w:val="28"/>
          <w:szCs w:val="28"/>
        </w:rPr>
      </w:pPr>
    </w:p>
    <w:p>
      <w:pPr>
        <w:spacing w:line="360" w:lineRule="auto"/>
        <w:jc w:val="center"/>
        <w:rPr>
          <w:rFonts w:ascii="宋体" w:hAnsi="宋体" w:cs="宋体"/>
          <w:szCs w:val="21"/>
          <w:u w:val="single"/>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spacing w:line="360" w:lineRule="auto"/>
        <w:jc w:val="center"/>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360" w:lineRule="auto"/>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目    录</w:t>
      </w:r>
    </w:p>
    <w:p>
      <w:pPr>
        <w:spacing w:line="400" w:lineRule="exact"/>
        <w:ind w:firstLine="393" w:firstLineChars="171"/>
        <w:rPr>
          <w:rFonts w:ascii="宋体" w:hAnsi="宋体" w:cs="宋体"/>
          <w:spacing w:val="10"/>
          <w:szCs w:val="21"/>
        </w:rPr>
      </w:pPr>
      <w:r>
        <w:rPr>
          <w:rFonts w:hint="eastAsia" w:ascii="宋体" w:hAnsi="宋体" w:cs="宋体"/>
          <w:spacing w:val="10"/>
          <w:szCs w:val="21"/>
        </w:rPr>
        <w:t>一、报价函</w:t>
      </w:r>
    </w:p>
    <w:p>
      <w:pPr>
        <w:spacing w:line="400" w:lineRule="exact"/>
        <w:ind w:firstLine="393" w:firstLineChars="171"/>
        <w:rPr>
          <w:rFonts w:ascii="宋体" w:hAnsi="宋体" w:cs="宋体"/>
          <w:spacing w:val="10"/>
          <w:szCs w:val="21"/>
        </w:rPr>
      </w:pPr>
      <w:r>
        <w:rPr>
          <w:rFonts w:hint="eastAsia" w:ascii="宋体" w:hAnsi="宋体" w:cs="宋体"/>
          <w:spacing w:val="10"/>
          <w:szCs w:val="21"/>
        </w:rPr>
        <w:t>二、报价一览表</w:t>
      </w:r>
    </w:p>
    <w:p>
      <w:pPr>
        <w:spacing w:line="400" w:lineRule="exact"/>
        <w:ind w:firstLine="393" w:firstLineChars="171"/>
        <w:rPr>
          <w:rFonts w:ascii="宋体" w:hAnsi="宋体" w:cs="宋体"/>
          <w:spacing w:val="10"/>
          <w:szCs w:val="21"/>
        </w:rPr>
      </w:pPr>
      <w:r>
        <w:rPr>
          <w:rFonts w:hint="eastAsia" w:ascii="宋体" w:hAnsi="宋体" w:cs="宋体"/>
          <w:spacing w:val="10"/>
          <w:szCs w:val="21"/>
        </w:rPr>
        <w:t>三、法定代表人身份证明</w:t>
      </w:r>
    </w:p>
    <w:p>
      <w:pPr>
        <w:spacing w:line="400" w:lineRule="exact"/>
        <w:ind w:firstLine="393" w:firstLineChars="171"/>
        <w:rPr>
          <w:rFonts w:ascii="宋体" w:hAnsi="宋体" w:cs="宋体"/>
          <w:spacing w:val="10"/>
          <w:szCs w:val="21"/>
        </w:rPr>
      </w:pPr>
      <w:r>
        <w:rPr>
          <w:rFonts w:hint="eastAsia" w:ascii="宋体" w:hAnsi="宋体" w:cs="宋体"/>
          <w:spacing w:val="10"/>
          <w:szCs w:val="21"/>
        </w:rPr>
        <w:t>四、授权委托书</w:t>
      </w:r>
    </w:p>
    <w:p>
      <w:pPr>
        <w:spacing w:line="400" w:lineRule="exact"/>
        <w:ind w:firstLine="393" w:firstLineChars="171"/>
        <w:rPr>
          <w:rFonts w:ascii="宋体" w:hAnsi="宋体" w:cs="宋体"/>
          <w:spacing w:val="10"/>
          <w:szCs w:val="21"/>
        </w:rPr>
      </w:pPr>
      <w:r>
        <w:rPr>
          <w:rFonts w:hint="eastAsia" w:ascii="宋体" w:hAnsi="宋体" w:cs="宋体"/>
          <w:spacing w:val="10"/>
          <w:szCs w:val="21"/>
        </w:rPr>
        <w:t>五、已标价工程量清单</w:t>
      </w:r>
    </w:p>
    <w:p>
      <w:pPr>
        <w:spacing w:line="400" w:lineRule="exact"/>
        <w:ind w:firstLine="393" w:firstLineChars="171"/>
        <w:rPr>
          <w:rFonts w:ascii="宋体" w:hAnsi="宋体" w:cs="宋体"/>
          <w:spacing w:val="10"/>
          <w:szCs w:val="21"/>
        </w:rPr>
      </w:pPr>
      <w:r>
        <w:rPr>
          <w:rFonts w:hint="eastAsia" w:ascii="宋体" w:hAnsi="宋体" w:cs="宋体"/>
          <w:spacing w:val="10"/>
          <w:szCs w:val="21"/>
        </w:rPr>
        <w:t>六、施工组织设计</w:t>
      </w:r>
    </w:p>
    <w:p>
      <w:pPr>
        <w:spacing w:line="400" w:lineRule="exact"/>
        <w:ind w:firstLine="393" w:firstLineChars="171"/>
        <w:rPr>
          <w:rFonts w:ascii="宋体" w:hAnsi="宋体" w:cs="宋体"/>
          <w:spacing w:val="10"/>
          <w:szCs w:val="21"/>
        </w:rPr>
      </w:pPr>
      <w:r>
        <w:rPr>
          <w:rFonts w:hint="eastAsia" w:ascii="宋体" w:hAnsi="宋体" w:cs="宋体"/>
          <w:spacing w:val="10"/>
          <w:szCs w:val="21"/>
        </w:rPr>
        <w:t>七、资格审查资料</w:t>
      </w:r>
    </w:p>
    <w:p>
      <w:pPr>
        <w:spacing w:line="400" w:lineRule="exact"/>
        <w:ind w:firstLine="393" w:firstLineChars="171"/>
        <w:rPr>
          <w:rFonts w:ascii="宋体" w:hAnsi="宋体" w:cs="宋体"/>
          <w:spacing w:val="10"/>
          <w:szCs w:val="21"/>
        </w:rPr>
      </w:pPr>
      <w:r>
        <w:rPr>
          <w:rFonts w:hint="eastAsia" w:ascii="宋体" w:hAnsi="宋体" w:cs="宋体"/>
          <w:spacing w:val="10"/>
          <w:szCs w:val="21"/>
        </w:rPr>
        <w:t>八、竞争性磋商文件规定的其他资料</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Style w:val="22"/>
          <w:sz w:val="30"/>
          <w:szCs w:val="30"/>
        </w:rPr>
      </w:pPr>
      <w:r>
        <w:rPr>
          <w:rFonts w:hint="eastAsia" w:ascii="宋体" w:hAnsi="宋体" w:cs="宋体"/>
          <w:b/>
          <w:bCs/>
          <w:spacing w:val="10"/>
          <w:sz w:val="32"/>
          <w:szCs w:val="32"/>
        </w:rPr>
        <w:br w:type="page"/>
      </w:r>
      <w:bookmarkStart w:id="415" w:name="_Toc21089"/>
      <w:bookmarkStart w:id="416" w:name="_Toc9976"/>
      <w:bookmarkStart w:id="417" w:name="_Toc19279"/>
      <w:bookmarkStart w:id="418" w:name="_Toc27367"/>
      <w:bookmarkStart w:id="419" w:name="_Toc12516"/>
      <w:bookmarkStart w:id="420" w:name="_Toc5495"/>
      <w:bookmarkStart w:id="421" w:name="_Toc24028"/>
      <w:bookmarkStart w:id="422" w:name="_Toc5087"/>
      <w:bookmarkStart w:id="423" w:name="_Toc27955"/>
      <w:bookmarkStart w:id="424" w:name="_Toc2625"/>
      <w:bookmarkStart w:id="425" w:name="_Toc5393"/>
      <w:bookmarkStart w:id="426" w:name="_Toc18285"/>
      <w:bookmarkStart w:id="427" w:name="_Toc2991"/>
      <w:bookmarkStart w:id="428" w:name="_Toc8377"/>
      <w:bookmarkStart w:id="429" w:name="_Toc1047"/>
      <w:r>
        <w:rPr>
          <w:rStyle w:val="22"/>
          <w:rFonts w:hint="eastAsia"/>
          <w:sz w:val="30"/>
          <w:szCs w:val="30"/>
        </w:rPr>
        <w:t>一、报价函</w:t>
      </w: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Pr>
        <w:spacing w:line="440" w:lineRule="exact"/>
        <w:rPr>
          <w:rFonts w:ascii="宋体" w:hAnsi="宋体" w:cs="宋体"/>
          <w:szCs w:val="21"/>
          <w:u w:val="single"/>
        </w:rPr>
      </w:pPr>
    </w:p>
    <w:p>
      <w:pPr>
        <w:spacing w:line="440" w:lineRule="exact"/>
        <w:rPr>
          <w:rFonts w:ascii="宋体" w:hAnsi="宋体" w:cs="宋体"/>
          <w:szCs w:val="21"/>
        </w:rPr>
      </w:pPr>
      <w:r>
        <w:rPr>
          <w:rFonts w:hint="eastAsia" w:ascii="宋体" w:hAnsi="宋体" w:cs="宋体"/>
          <w:szCs w:val="21"/>
          <w:u w:val="single"/>
        </w:rPr>
        <w:t xml:space="preserve">                        （采购单位）</w:t>
      </w:r>
      <w:r>
        <w:rPr>
          <w:rFonts w:hint="eastAsia" w:ascii="宋体" w:hAnsi="宋体" w:cs="宋体"/>
          <w:szCs w:val="21"/>
        </w:rPr>
        <w:t>：</w:t>
      </w: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（项目名称）</w:t>
      </w:r>
      <w:r>
        <w:rPr>
          <w:rFonts w:hint="eastAsia" w:ascii="宋体" w:hAnsi="宋体" w:cs="宋体"/>
          <w:szCs w:val="21"/>
        </w:rPr>
        <w:t>竞争性磋商文件的全部内容，愿意以人民币（大写）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）的总报价，工期</w:t>
      </w:r>
      <w:r>
        <w:rPr>
          <w:rFonts w:hint="eastAsia" w:ascii="宋体" w:hAnsi="宋体" w:cs="宋体"/>
          <w:szCs w:val="21"/>
          <w:u w:val="single"/>
        </w:rPr>
        <w:t xml:space="preserve">          </w:t>
      </w:r>
      <w:r>
        <w:rPr>
          <w:rFonts w:hint="eastAsia" w:ascii="宋体" w:hAnsi="宋体" w:cs="宋体"/>
          <w:szCs w:val="21"/>
        </w:rPr>
        <w:t xml:space="preserve"> 日历天，按合同约定实施和完成承包工程，修补工程中的任何缺陷，工程质量达到</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2．我方承诺在竞争性磋商文件规定的磋商有效期内不修改、撤销响应文件。</w:t>
      </w:r>
    </w:p>
    <w:p>
      <w:pPr>
        <w:spacing w:line="440" w:lineRule="exact"/>
        <w:ind w:firstLine="420" w:firstLineChars="200"/>
        <w:rPr>
          <w:rFonts w:ascii="宋体" w:hAnsi="宋体" w:cs="宋体"/>
          <w:szCs w:val="21"/>
        </w:rPr>
      </w:pPr>
      <w:r>
        <w:rPr>
          <w:rFonts w:hint="eastAsia" w:ascii="宋体" w:hAnsi="宋体" w:cs="宋体"/>
          <w:szCs w:val="21"/>
        </w:rPr>
        <w:t>3．如我方成交：</w:t>
      </w:r>
    </w:p>
    <w:p>
      <w:pPr>
        <w:spacing w:line="440" w:lineRule="exact"/>
        <w:ind w:firstLine="718" w:firstLineChars="342"/>
        <w:rPr>
          <w:rFonts w:ascii="宋体" w:hAnsi="宋体" w:cs="宋体"/>
          <w:szCs w:val="21"/>
        </w:rPr>
      </w:pPr>
      <w:r>
        <w:rPr>
          <w:rFonts w:hint="eastAsia" w:ascii="宋体" w:hAnsi="宋体" w:cs="宋体"/>
          <w:szCs w:val="21"/>
        </w:rPr>
        <w:t>（1）我方承诺在收到成交通知书后，在成交通知书规定的期限内与你方签订合同。</w:t>
      </w:r>
    </w:p>
    <w:p>
      <w:pPr>
        <w:spacing w:line="440" w:lineRule="exact"/>
        <w:ind w:firstLine="718" w:firstLineChars="342"/>
        <w:rPr>
          <w:rFonts w:ascii="宋体" w:hAnsi="宋体" w:cs="宋体"/>
          <w:szCs w:val="21"/>
        </w:rPr>
      </w:pPr>
      <w:r>
        <w:rPr>
          <w:rFonts w:hint="eastAsia" w:ascii="宋体" w:hAnsi="宋体" w:cs="宋体"/>
          <w:szCs w:val="21"/>
        </w:rPr>
        <w:t>（2）随同本报价函递交的报价一览表属于合同文件的组成部分。</w:t>
      </w:r>
    </w:p>
    <w:p>
      <w:pPr>
        <w:spacing w:line="440" w:lineRule="exact"/>
        <w:ind w:firstLine="718" w:firstLineChars="342"/>
        <w:rPr>
          <w:rFonts w:ascii="宋体" w:hAnsi="宋体" w:cs="宋体"/>
          <w:szCs w:val="21"/>
        </w:rPr>
      </w:pPr>
      <w:r>
        <w:rPr>
          <w:rFonts w:hint="eastAsia" w:ascii="宋体" w:hAnsi="宋体" w:cs="宋体"/>
          <w:szCs w:val="21"/>
        </w:rPr>
        <w:t>（3）我方承诺按照竞争性磋商文件规定向你方递交履约担保。</w:t>
      </w:r>
    </w:p>
    <w:p>
      <w:pPr>
        <w:spacing w:line="440" w:lineRule="exact"/>
        <w:ind w:firstLine="718" w:firstLineChars="342"/>
        <w:rPr>
          <w:rFonts w:ascii="宋体" w:hAnsi="宋体" w:cs="宋体"/>
          <w:szCs w:val="21"/>
        </w:rPr>
      </w:pPr>
      <w:r>
        <w:rPr>
          <w:rFonts w:hint="eastAsia" w:ascii="宋体" w:hAnsi="宋体" w:cs="宋体"/>
          <w:szCs w:val="21"/>
        </w:rPr>
        <w:t>（4）我方承诺在合同约定的期限内完成并移交全部合同工程。</w:t>
      </w:r>
    </w:p>
    <w:p>
      <w:pPr>
        <w:spacing w:line="440" w:lineRule="exact"/>
        <w:ind w:firstLine="420" w:firstLineChars="200"/>
        <w:rPr>
          <w:rFonts w:ascii="宋体" w:hAnsi="宋体" w:cs="宋体"/>
          <w:szCs w:val="21"/>
        </w:rPr>
      </w:pPr>
      <w:r>
        <w:rPr>
          <w:rFonts w:hint="eastAsia" w:ascii="宋体" w:hAnsi="宋体" w:cs="宋体"/>
          <w:szCs w:val="21"/>
        </w:rPr>
        <w:t>4．我方在此声明，所递交的响应文件及有关资料内容完整、真实和准确。</w:t>
      </w:r>
    </w:p>
    <w:p>
      <w:pPr>
        <w:spacing w:line="440" w:lineRule="exact"/>
        <w:ind w:firstLine="420" w:firstLineChars="200"/>
        <w:rPr>
          <w:rFonts w:ascii="宋体" w:hAnsi="宋体" w:cs="宋体"/>
          <w:szCs w:val="21"/>
        </w:rPr>
      </w:pPr>
      <w:r>
        <w:rPr>
          <w:rFonts w:hint="eastAsia" w:ascii="宋体" w:hAnsi="宋体" w:cs="宋体"/>
          <w:szCs w:val="21"/>
        </w:rPr>
        <w:t>5．</w:t>
      </w:r>
      <w:r>
        <w:rPr>
          <w:rFonts w:hint="eastAsia" w:ascii="宋体" w:hAnsi="宋体" w:cs="宋体"/>
          <w:szCs w:val="21"/>
          <w:u w:val="single"/>
        </w:rPr>
        <w:t xml:space="preserve">                                       </w:t>
      </w:r>
      <w:r>
        <w:rPr>
          <w:rFonts w:hint="eastAsia" w:ascii="宋体" w:hAnsi="宋体" w:cs="宋体"/>
          <w:szCs w:val="21"/>
        </w:rPr>
        <w:t>（其他补充说明）。</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80" w:lineRule="auto"/>
        <w:ind w:firstLine="1470" w:firstLineChars="7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spacing w:line="480" w:lineRule="auto"/>
        <w:ind w:firstLine="1470" w:firstLineChars="700"/>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ind w:firstLine="2520" w:firstLineChars="1200"/>
        <w:rPr>
          <w:rFonts w:ascii="宋体" w:hAnsi="宋体" w:cs="宋体"/>
          <w:spacing w:val="10"/>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jc w:val="center"/>
        <w:rPr>
          <w:rFonts w:ascii="宋体" w:hAnsi="宋体" w:cs="宋体"/>
          <w:b/>
          <w:bCs/>
          <w:spacing w:val="10"/>
          <w:szCs w:val="21"/>
        </w:rPr>
      </w:pPr>
    </w:p>
    <w:p>
      <w:pPr>
        <w:spacing w:line="400" w:lineRule="exact"/>
        <w:jc w:val="center"/>
        <w:rPr>
          <w:rStyle w:val="22"/>
          <w:sz w:val="30"/>
          <w:szCs w:val="30"/>
        </w:rPr>
      </w:pPr>
      <w:r>
        <w:rPr>
          <w:rFonts w:hint="eastAsia" w:ascii="宋体" w:hAnsi="宋体" w:cs="宋体"/>
          <w:b/>
          <w:bCs/>
          <w:spacing w:val="10"/>
          <w:sz w:val="32"/>
          <w:szCs w:val="32"/>
        </w:rPr>
        <w:br w:type="page"/>
      </w:r>
      <w:bookmarkStart w:id="430" w:name="_Toc7990"/>
      <w:bookmarkStart w:id="431" w:name="_Toc16560"/>
      <w:bookmarkStart w:id="432" w:name="_Toc27968"/>
      <w:bookmarkStart w:id="433" w:name="_Toc5608"/>
      <w:bookmarkStart w:id="434" w:name="_Toc17965"/>
      <w:bookmarkStart w:id="435" w:name="_Toc26724"/>
      <w:bookmarkStart w:id="436" w:name="_Toc10711"/>
      <w:bookmarkStart w:id="437" w:name="_Toc17549"/>
      <w:bookmarkStart w:id="438" w:name="_Toc32139"/>
      <w:bookmarkStart w:id="439" w:name="_Toc23724"/>
      <w:bookmarkStart w:id="440" w:name="_Toc1435"/>
      <w:bookmarkStart w:id="441" w:name="_Toc19902"/>
      <w:bookmarkStart w:id="442" w:name="_Toc24136"/>
      <w:bookmarkStart w:id="443" w:name="_Toc1018"/>
      <w:bookmarkStart w:id="444" w:name="_Toc24863"/>
      <w:r>
        <w:rPr>
          <w:rStyle w:val="22"/>
          <w:rFonts w:hint="eastAsia"/>
          <w:sz w:val="30"/>
          <w:szCs w:val="30"/>
        </w:rPr>
        <w:t>二、报价一览表</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rPr>
          <w:rFonts w:ascii="宋体" w:hAnsi="宋体" w:cs="宋体"/>
          <w:spacing w:val="10"/>
          <w:szCs w:val="21"/>
        </w:rPr>
      </w:pPr>
    </w:p>
    <w:p>
      <w:pPr>
        <w:rPr>
          <w:rFonts w:ascii="宋体" w:hAnsi="宋体" w:cs="宋体"/>
          <w:spacing w:val="10"/>
          <w:szCs w:val="21"/>
        </w:rPr>
      </w:pPr>
    </w:p>
    <w:tbl>
      <w:tblPr>
        <w:tblStyle w:val="17"/>
        <w:tblpPr w:leftFromText="180" w:rightFromText="180" w:vertAnchor="text" w:horzAnchor="page" w:tblpX="1790" w:tblpY="1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236"/>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10"/>
                <w:szCs w:val="21"/>
              </w:rPr>
            </w:pPr>
            <w:r>
              <w:rPr>
                <w:rFonts w:hint="eastAsia" w:ascii="宋体" w:hAnsi="宋体" w:cs="宋体"/>
                <w:b/>
                <w:bCs/>
                <w:spacing w:val="10"/>
                <w:szCs w:val="21"/>
              </w:rPr>
              <w:t>序号</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10"/>
                <w:szCs w:val="21"/>
              </w:rPr>
            </w:pPr>
            <w:r>
              <w:rPr>
                <w:rFonts w:hint="eastAsia" w:ascii="宋体" w:hAnsi="宋体" w:cs="宋体"/>
                <w:b/>
                <w:bCs/>
                <w:spacing w:val="10"/>
                <w:szCs w:val="21"/>
              </w:rPr>
              <w:t>项目</w:t>
            </w:r>
          </w:p>
        </w:tc>
        <w:tc>
          <w:tcPr>
            <w:tcW w:w="54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10"/>
                <w:szCs w:val="21"/>
              </w:rPr>
            </w:pPr>
            <w:r>
              <w:rPr>
                <w:rFonts w:hint="eastAsia" w:ascii="宋体" w:hAnsi="宋体" w:cs="宋体"/>
                <w:b/>
                <w:bCs/>
                <w:spacing w:val="1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1</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供应商名称</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2</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 xml:space="preserve">项目名称  </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3</w:t>
            </w: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报价</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u w:val="single"/>
              </w:rPr>
            </w:pPr>
            <w:r>
              <w:rPr>
                <w:rFonts w:hint="eastAsia" w:ascii="宋体" w:hAnsi="宋体" w:cs="宋体"/>
                <w:spacing w:val="1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0"/>
                <w:szCs w:val="21"/>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10"/>
                <w:szCs w:val="21"/>
              </w:rPr>
            </w:pP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r>
              <w:rPr>
                <w:rFonts w:hint="eastAsia" w:ascii="宋体" w:hAnsi="宋体" w:cs="宋体"/>
                <w:spacing w:val="10"/>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4</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工期</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5</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质量标准</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6</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磋商有效期</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7</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0"/>
                <w:szCs w:val="21"/>
              </w:rPr>
            </w:pPr>
            <w:r>
              <w:rPr>
                <w:rFonts w:hint="eastAsia" w:ascii="宋体" w:hAnsi="宋体" w:cs="宋体"/>
                <w:spacing w:val="10"/>
                <w:szCs w:val="21"/>
              </w:rPr>
              <w:t>其他</w:t>
            </w:r>
          </w:p>
        </w:tc>
        <w:tc>
          <w:tcPr>
            <w:tcW w:w="54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0"/>
                <w:szCs w:val="21"/>
              </w:rPr>
            </w:pPr>
          </w:p>
        </w:tc>
      </w:tr>
    </w:tbl>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pacing w:val="10"/>
          <w:szCs w:val="21"/>
        </w:rPr>
      </w:pPr>
    </w:p>
    <w:p>
      <w:pPr>
        <w:spacing w:line="480" w:lineRule="auto"/>
        <w:ind w:firstLine="1610" w:firstLineChars="700"/>
        <w:rPr>
          <w:rFonts w:ascii="宋体" w:hAnsi="宋体" w:cs="宋体"/>
          <w:szCs w:val="21"/>
        </w:rPr>
      </w:pPr>
      <w:r>
        <w:rPr>
          <w:rFonts w:hint="eastAsia" w:ascii="宋体" w:hAnsi="宋体" w:cs="宋体"/>
          <w:spacing w:val="10"/>
          <w:szCs w:val="21"/>
        </w:rPr>
        <w:t>供应商全称（盖章）：</w:t>
      </w:r>
      <w:r>
        <w:rPr>
          <w:rFonts w:hint="eastAsia" w:ascii="宋体" w:hAnsi="宋体" w:cs="宋体"/>
          <w:szCs w:val="21"/>
          <w:u w:val="single"/>
        </w:rPr>
        <w:t xml:space="preserve">                                      </w:t>
      </w:r>
    </w:p>
    <w:p>
      <w:pPr>
        <w:spacing w:line="480" w:lineRule="auto"/>
        <w:ind w:firstLine="1610" w:firstLineChars="700"/>
        <w:rPr>
          <w:rFonts w:ascii="宋体" w:hAnsi="宋体" w:cs="宋体"/>
          <w:szCs w:val="21"/>
        </w:rPr>
      </w:pPr>
      <w:r>
        <w:rPr>
          <w:rFonts w:hint="eastAsia" w:ascii="宋体" w:hAnsi="宋体" w:cs="宋体"/>
          <w:spacing w:val="10"/>
          <w:szCs w:val="21"/>
        </w:rPr>
        <w:t>法定代表人或其委托代理人（签字）：</w:t>
      </w:r>
      <w:r>
        <w:rPr>
          <w:rFonts w:hint="eastAsia" w:ascii="宋体" w:hAnsi="宋体" w:cs="宋体"/>
          <w:szCs w:val="21"/>
          <w:u w:val="single"/>
        </w:rPr>
        <w:t xml:space="preserve">                        </w:t>
      </w:r>
    </w:p>
    <w:p>
      <w:pPr>
        <w:ind w:firstLine="1610" w:firstLineChars="700"/>
        <w:rPr>
          <w:rFonts w:ascii="宋体" w:hAnsi="宋体" w:cs="宋体"/>
          <w:spacing w:val="10"/>
          <w:szCs w:val="21"/>
        </w:rPr>
      </w:pPr>
      <w:r>
        <w:rPr>
          <w:rFonts w:hint="eastAsia" w:ascii="宋体" w:hAnsi="宋体" w:cs="宋体"/>
          <w:spacing w:val="10"/>
          <w:szCs w:val="21"/>
        </w:rPr>
        <w:t xml:space="preserve">日  期：                   </w:t>
      </w:r>
    </w:p>
    <w:p>
      <w:pPr>
        <w:pStyle w:val="4"/>
        <w:rPr>
          <w:rStyle w:val="22"/>
          <w:b w:val="0"/>
          <w:bCs w:val="0"/>
          <w:sz w:val="30"/>
          <w:szCs w:val="30"/>
        </w:rPr>
      </w:pPr>
      <w:r>
        <w:rPr>
          <w:rStyle w:val="22"/>
          <w:b/>
          <w:bCs/>
          <w:sz w:val="30"/>
          <w:szCs w:val="30"/>
        </w:rPr>
        <w:br w:type="page"/>
      </w:r>
      <w:bookmarkStart w:id="445" w:name="_Toc26760"/>
      <w:bookmarkStart w:id="446" w:name="_Toc10028"/>
      <w:bookmarkStart w:id="447" w:name="_Toc11747"/>
      <w:bookmarkStart w:id="448" w:name="_Toc11880"/>
      <w:bookmarkStart w:id="449" w:name="_Toc11314"/>
      <w:bookmarkStart w:id="450" w:name="_Toc10274"/>
      <w:bookmarkStart w:id="451" w:name="_Toc13925"/>
      <w:bookmarkStart w:id="452" w:name="_Toc6684"/>
      <w:bookmarkStart w:id="453" w:name="_Toc16054"/>
      <w:bookmarkStart w:id="454" w:name="_Toc30580"/>
      <w:bookmarkStart w:id="455" w:name="_Toc3621"/>
      <w:bookmarkStart w:id="456" w:name="_Toc7519"/>
      <w:bookmarkStart w:id="457" w:name="_Toc11471"/>
      <w:bookmarkStart w:id="458" w:name="_Toc25857"/>
      <w:bookmarkStart w:id="459" w:name="_Toc20852"/>
      <w:r>
        <w:rPr>
          <w:rStyle w:val="22"/>
          <w:rFonts w:hint="eastAsia"/>
          <w:b w:val="0"/>
          <w:bCs w:val="0"/>
          <w:sz w:val="30"/>
          <w:szCs w:val="30"/>
        </w:rPr>
        <w:t>三、法定代表人身份证明</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spacing w:line="400" w:lineRule="exact"/>
        <w:rPr>
          <w:rFonts w:ascii="宋体" w:hAnsi="宋体" w:cs="宋体"/>
          <w:spacing w:val="10"/>
          <w:szCs w:val="21"/>
        </w:rPr>
      </w:pPr>
    </w:p>
    <w:p>
      <w:pPr>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（供应商名称）的法定代表人。</w:t>
      </w: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440" w:lineRule="exact"/>
        <w:rPr>
          <w:rFonts w:ascii="宋体" w:hAnsi="宋体" w:cs="宋体"/>
          <w:szCs w:val="21"/>
        </w:rPr>
      </w:pPr>
    </w:p>
    <w:p>
      <w:pPr>
        <w:spacing w:line="440" w:lineRule="exact"/>
        <w:rPr>
          <w:rFonts w:ascii="宋体" w:hAnsi="宋体" w:cs="宋体"/>
          <w:szCs w:val="21"/>
        </w:rPr>
      </w:pPr>
    </w:p>
    <w:p>
      <w:pPr>
        <w:spacing w:line="480" w:lineRule="auto"/>
        <w:rPr>
          <w:rFonts w:ascii="宋体" w:hAnsi="宋体" w:cs="宋体"/>
          <w:szCs w:val="21"/>
        </w:rPr>
      </w:pPr>
      <w:r>
        <w:rPr>
          <w:rFonts w:hint="eastAsia" w:ascii="宋体" w:hAnsi="宋体" w:cs="宋体"/>
          <w:szCs w:val="21"/>
        </w:rPr>
        <w:t xml:space="preserve">                          </w:t>
      </w:r>
    </w:p>
    <w:p>
      <w:pPr>
        <w:spacing w:line="480" w:lineRule="auto"/>
        <w:ind w:firstLine="3150" w:firstLineChars="15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spacing w:line="48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pacing w:line="400" w:lineRule="exact"/>
        <w:rPr>
          <w:rFonts w:ascii="宋体" w:hAnsi="宋体" w:cs="宋体"/>
          <w:szCs w:val="21"/>
        </w:rPr>
      </w:pPr>
      <w:r>
        <w:rPr>
          <w:rFonts w:hint="eastAsia" w:ascii="宋体" w:hAnsi="宋体" w:cs="宋体"/>
          <w:szCs w:val="21"/>
        </w:rPr>
        <w:t>附法定代表人身份证复印件：</w:t>
      </w: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pStyle w:val="4"/>
        <w:ind w:firstLine="3915" w:firstLineChars="1300"/>
        <w:jc w:val="both"/>
        <w:rPr>
          <w:sz w:val="30"/>
          <w:szCs w:val="30"/>
        </w:rPr>
      </w:pPr>
      <w:bookmarkStart w:id="460" w:name="_Toc17777"/>
      <w:bookmarkStart w:id="461" w:name="_Toc21596"/>
      <w:bookmarkStart w:id="462" w:name="_Toc32397"/>
      <w:bookmarkStart w:id="463" w:name="_Toc9954"/>
      <w:bookmarkStart w:id="464" w:name="_Toc23632"/>
      <w:bookmarkStart w:id="465" w:name="_Toc15840"/>
      <w:bookmarkStart w:id="466" w:name="_Toc31375"/>
      <w:bookmarkStart w:id="467" w:name="_Toc10178"/>
      <w:bookmarkStart w:id="468" w:name="_Toc26065"/>
      <w:bookmarkStart w:id="469" w:name="_Toc23462"/>
      <w:bookmarkStart w:id="470" w:name="_Toc22358"/>
      <w:bookmarkStart w:id="471" w:name="_Toc22767"/>
      <w:bookmarkStart w:id="472" w:name="_Toc1394"/>
      <w:bookmarkStart w:id="473" w:name="_Toc23478"/>
      <w:bookmarkStart w:id="474" w:name="_Toc7163"/>
      <w:r>
        <w:rPr>
          <w:rFonts w:hint="eastAsia"/>
          <w:sz w:val="30"/>
          <w:szCs w:val="30"/>
        </w:rPr>
        <w:t>四、授权委托书</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spacing w:line="400" w:lineRule="exact"/>
        <w:rPr>
          <w:rFonts w:ascii="宋体" w:hAnsi="宋体" w:cs="宋体"/>
          <w:spacing w:val="10"/>
          <w:sz w:val="32"/>
          <w:szCs w:val="32"/>
        </w:rPr>
      </w:pPr>
    </w:p>
    <w:p>
      <w:pPr>
        <w:topLinePunct/>
        <w:spacing w:line="440" w:lineRule="exact"/>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（姓名）</w:t>
      </w:r>
      <w:r>
        <w:rPr>
          <w:rFonts w:hint="eastAsia" w:ascii="宋体" w:hAnsi="宋体" w:cs="宋体"/>
          <w:szCs w:val="21"/>
        </w:rPr>
        <w:t>为我方代理人。代理人根据授权，以我方名义签署、澄清、说明、补正、递交、撤回、修改</w:t>
      </w:r>
      <w:r>
        <w:rPr>
          <w:rFonts w:hint="eastAsia" w:ascii="宋体" w:hAnsi="宋体" w:cs="宋体"/>
          <w:szCs w:val="21"/>
          <w:u w:val="single"/>
        </w:rPr>
        <w:t xml:space="preserve">   （项目名称）  </w:t>
      </w:r>
      <w:r>
        <w:rPr>
          <w:rFonts w:hint="eastAsia" w:ascii="宋体" w:hAnsi="宋体" w:cs="宋体"/>
          <w:szCs w:val="21"/>
        </w:rPr>
        <w:t>响应文件、签订合同和处理有关事宜，其法律后果由我方承担。</w:t>
      </w:r>
    </w:p>
    <w:p>
      <w:pPr>
        <w:spacing w:line="440" w:lineRule="exact"/>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代理人无转委托权。</w:t>
      </w:r>
    </w:p>
    <w:p>
      <w:pPr>
        <w:spacing w:line="440" w:lineRule="exact"/>
        <w:ind w:firstLine="420" w:firstLineChars="200"/>
        <w:rPr>
          <w:rFonts w:ascii="宋体" w:hAnsi="宋体" w:cs="宋体"/>
          <w:szCs w:val="21"/>
        </w:rPr>
      </w:pPr>
      <w:r>
        <w:rPr>
          <w:rFonts w:hint="eastAsia" w:ascii="宋体" w:hAnsi="宋体" w:cs="宋体"/>
          <w:szCs w:val="21"/>
        </w:rPr>
        <w:t>附：委托代理人身份证复印件</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（签字） </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1、在授权委托书后应附委托代理人的身份证复印件。</w:t>
      </w:r>
    </w:p>
    <w:p>
      <w:pPr>
        <w:spacing w:line="400" w:lineRule="exact"/>
        <w:rPr>
          <w:rFonts w:ascii="宋体" w:hAnsi="宋体" w:cs="宋体"/>
          <w:spacing w:val="10"/>
          <w:szCs w:val="21"/>
        </w:rPr>
      </w:pPr>
      <w:r>
        <w:rPr>
          <w:rFonts w:hint="eastAsia" w:ascii="宋体" w:hAnsi="宋体" w:cs="宋体"/>
          <w:szCs w:val="21"/>
        </w:rPr>
        <w:t>2、如果由供应商的法定代表人签署竞争性磋商文件的，则不需提交授权委托书。</w:t>
      </w:r>
    </w:p>
    <w:p>
      <w:pPr>
        <w:spacing w:line="400" w:lineRule="exact"/>
        <w:rPr>
          <w:rFonts w:ascii="宋体" w:hAnsi="宋体" w:cs="宋体"/>
          <w:spacing w:val="10"/>
          <w:szCs w:val="21"/>
        </w:rPr>
      </w:pPr>
    </w:p>
    <w:p>
      <w:pPr>
        <w:spacing w:line="400" w:lineRule="exact"/>
        <w:rPr>
          <w:rFonts w:ascii="宋体" w:hAnsi="宋体" w:cs="宋体"/>
          <w:spacing w:val="10"/>
          <w:szCs w:val="21"/>
        </w:rPr>
      </w:pPr>
    </w:p>
    <w:p>
      <w:pPr>
        <w:pStyle w:val="4"/>
        <w:rPr>
          <w:rStyle w:val="22"/>
          <w:b/>
          <w:bCs w:val="0"/>
          <w:sz w:val="30"/>
          <w:szCs w:val="30"/>
        </w:rPr>
      </w:pPr>
      <w:r>
        <w:rPr>
          <w:b w:val="0"/>
          <w:bCs w:val="0"/>
        </w:rPr>
        <w:br w:type="page"/>
      </w:r>
      <w:bookmarkStart w:id="475" w:name="_Toc18179"/>
      <w:bookmarkStart w:id="476" w:name="_Toc3378"/>
      <w:bookmarkStart w:id="477" w:name="_Toc2334"/>
      <w:bookmarkStart w:id="478" w:name="_Toc32031"/>
      <w:bookmarkStart w:id="479" w:name="_Toc14188"/>
      <w:bookmarkStart w:id="480" w:name="_Toc18100"/>
      <w:bookmarkStart w:id="481" w:name="_Toc10485"/>
      <w:bookmarkStart w:id="482" w:name="_Toc31191"/>
      <w:bookmarkStart w:id="483" w:name="_Toc16374"/>
      <w:bookmarkStart w:id="484" w:name="_Toc19895"/>
      <w:bookmarkStart w:id="485" w:name="_Toc31614"/>
      <w:bookmarkStart w:id="486" w:name="_Toc1484"/>
      <w:bookmarkStart w:id="487" w:name="_Toc29947"/>
      <w:bookmarkStart w:id="488" w:name="_Toc24216"/>
      <w:bookmarkStart w:id="489" w:name="_Toc22953"/>
      <w:r>
        <w:rPr>
          <w:rStyle w:val="22"/>
          <w:rFonts w:hint="eastAsia"/>
          <w:b/>
          <w:bCs w:val="0"/>
          <w:sz w:val="30"/>
          <w:szCs w:val="30"/>
        </w:rPr>
        <w:t>五、已标价工程量清单</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Pr>
        <w:spacing w:line="400" w:lineRule="exact"/>
        <w:rPr>
          <w:rFonts w:ascii="宋体" w:hAnsi="宋体" w:cs="宋体"/>
          <w:spacing w:val="10"/>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rPr>
          <w:rFonts w:ascii="宋体" w:hAnsi="宋体" w:cs="宋体"/>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spacing w:line="400" w:lineRule="exact"/>
        <w:jc w:val="center"/>
        <w:rPr>
          <w:rFonts w:ascii="宋体" w:hAnsi="宋体" w:cs="宋体"/>
          <w:b/>
          <w:bCs/>
          <w:spacing w:val="10"/>
          <w:szCs w:val="21"/>
        </w:rPr>
      </w:pPr>
    </w:p>
    <w:p>
      <w:pPr>
        <w:pStyle w:val="4"/>
        <w:ind w:firstLine="3313" w:firstLineChars="1100"/>
        <w:jc w:val="both"/>
        <w:rPr>
          <w:sz w:val="30"/>
          <w:szCs w:val="30"/>
        </w:rPr>
      </w:pPr>
      <w:bookmarkStart w:id="490" w:name="_Toc3293"/>
      <w:bookmarkStart w:id="491" w:name="_Toc29509"/>
      <w:bookmarkStart w:id="492" w:name="_Toc31730"/>
      <w:bookmarkStart w:id="493" w:name="_Toc17960"/>
      <w:bookmarkStart w:id="494" w:name="_Toc23721"/>
      <w:bookmarkStart w:id="495" w:name="_Toc3103"/>
      <w:bookmarkStart w:id="496" w:name="_Toc27613"/>
      <w:bookmarkStart w:id="497" w:name="_Toc20304"/>
      <w:bookmarkStart w:id="498" w:name="_Toc15201"/>
      <w:bookmarkStart w:id="499" w:name="_Toc5958"/>
      <w:bookmarkStart w:id="500" w:name="_Toc2408"/>
      <w:bookmarkStart w:id="501" w:name="_Toc1080"/>
      <w:bookmarkStart w:id="502" w:name="_Toc9348"/>
      <w:bookmarkStart w:id="503" w:name="_Toc11641"/>
      <w:bookmarkStart w:id="504" w:name="_Toc15025"/>
      <w:bookmarkStart w:id="505" w:name="_Hlk10474262"/>
      <w:r>
        <w:rPr>
          <w:rFonts w:hint="eastAsia"/>
          <w:sz w:val="30"/>
          <w:szCs w:val="30"/>
        </w:rPr>
        <w:t>六、施工组织设计</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bookmarkEnd w:id="505"/>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jc w:val="center"/>
        <w:rPr>
          <w:rFonts w:ascii="宋体" w:hAnsi="宋体" w:cs="宋体"/>
          <w:spacing w:val="10"/>
          <w:szCs w:val="21"/>
        </w:rPr>
      </w:pPr>
    </w:p>
    <w:p>
      <w:pPr>
        <w:spacing w:line="400" w:lineRule="exact"/>
        <w:rPr>
          <w:rFonts w:ascii="宋体" w:hAnsi="宋体" w:cs="宋体"/>
          <w:b/>
          <w:bCs/>
          <w:spacing w:val="10"/>
          <w:szCs w:val="21"/>
        </w:rPr>
      </w:pPr>
    </w:p>
    <w:p>
      <w:pPr>
        <w:pStyle w:val="4"/>
        <w:rPr>
          <w:rFonts w:ascii="宋体" w:hAnsi="宋体" w:cs="宋体"/>
          <w:sz w:val="30"/>
          <w:szCs w:val="30"/>
        </w:rPr>
      </w:pPr>
      <w:r>
        <w:rPr>
          <w:b w:val="0"/>
          <w:bCs w:val="0"/>
          <w:sz w:val="30"/>
          <w:szCs w:val="30"/>
        </w:rPr>
        <w:br w:type="page"/>
      </w:r>
      <w:bookmarkStart w:id="506" w:name="_Toc14434"/>
      <w:bookmarkStart w:id="507" w:name="_Toc9502"/>
      <w:bookmarkStart w:id="508" w:name="_Toc12308"/>
      <w:bookmarkStart w:id="509" w:name="_Toc26515"/>
      <w:bookmarkStart w:id="510" w:name="_Toc26445"/>
      <w:bookmarkStart w:id="511" w:name="_Toc194"/>
      <w:bookmarkStart w:id="512" w:name="_Toc13667"/>
      <w:bookmarkStart w:id="513" w:name="_Toc8424"/>
      <w:bookmarkStart w:id="514" w:name="_Toc1099"/>
      <w:bookmarkStart w:id="515" w:name="_Toc18110"/>
      <w:bookmarkStart w:id="516" w:name="_Toc8445"/>
      <w:bookmarkStart w:id="517" w:name="_Toc13890"/>
      <w:bookmarkStart w:id="518" w:name="_Toc18197"/>
      <w:bookmarkStart w:id="519" w:name="_Toc20150"/>
      <w:bookmarkStart w:id="520" w:name="_Toc10996"/>
      <w:bookmarkStart w:id="521" w:name="_Hlk10474294"/>
      <w:r>
        <w:rPr>
          <w:rFonts w:hint="eastAsia"/>
          <w:sz w:val="30"/>
          <w:szCs w:val="30"/>
        </w:rPr>
        <w:t>七、资格审查资料</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Start w:id="522" w:name="_Toc144974881"/>
      <w:bookmarkStart w:id="523" w:name="_Toc152045813"/>
      <w:bookmarkStart w:id="524" w:name="_Toc152042602"/>
      <w:bookmarkStart w:id="525" w:name="_Toc179632833"/>
    </w:p>
    <w:bookmarkEnd w:id="522"/>
    <w:bookmarkEnd w:id="523"/>
    <w:bookmarkEnd w:id="524"/>
    <w:bookmarkEnd w:id="525"/>
    <w:p>
      <w:pPr>
        <w:spacing w:line="400" w:lineRule="exact"/>
        <w:jc w:val="center"/>
        <w:rPr>
          <w:rFonts w:ascii="宋体" w:hAnsi="宋体" w:cs="宋体"/>
          <w:spacing w:val="10"/>
          <w:sz w:val="24"/>
        </w:rPr>
      </w:pPr>
      <w:r>
        <w:rPr>
          <w:rFonts w:hint="eastAsia" w:ascii="宋体" w:hAnsi="宋体" w:cs="宋体"/>
          <w:spacing w:val="10"/>
          <w:sz w:val="24"/>
        </w:rPr>
        <w:t>（请附资格审查资料）</w:t>
      </w:r>
    </w:p>
    <w:bookmarkEnd w:id="521"/>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spacing w:val="10"/>
          <w:sz w:val="28"/>
          <w:szCs w:val="28"/>
        </w:rPr>
      </w:pPr>
    </w:p>
    <w:p>
      <w:pPr>
        <w:spacing w:line="400" w:lineRule="exact"/>
        <w:rPr>
          <w:rFonts w:ascii="宋体" w:hAnsi="宋体" w:cs="宋体"/>
          <w:b/>
          <w:bCs/>
          <w:spacing w:val="10"/>
          <w:sz w:val="36"/>
          <w:szCs w:val="36"/>
        </w:rPr>
      </w:pPr>
    </w:p>
    <w:p>
      <w:pPr>
        <w:spacing w:line="400" w:lineRule="exact"/>
        <w:rPr>
          <w:rFonts w:ascii="宋体" w:hAnsi="宋体" w:cs="宋体"/>
          <w:b/>
          <w:bCs/>
          <w:spacing w:val="10"/>
          <w:sz w:val="36"/>
          <w:szCs w:val="36"/>
        </w:rPr>
      </w:pPr>
    </w:p>
    <w:p>
      <w:pPr>
        <w:tabs>
          <w:tab w:val="left" w:pos="2987"/>
          <w:tab w:val="center" w:pos="4458"/>
        </w:tabs>
        <w:spacing w:line="400" w:lineRule="exact"/>
        <w:jc w:val="left"/>
        <w:rPr>
          <w:rStyle w:val="22"/>
        </w:rPr>
      </w:pPr>
      <w:bookmarkStart w:id="526" w:name="_Toc22141"/>
      <w:bookmarkStart w:id="527" w:name="_Toc22391"/>
      <w:bookmarkStart w:id="528" w:name="_Toc30845"/>
      <w:bookmarkStart w:id="529" w:name="_Toc909"/>
      <w:bookmarkStart w:id="530" w:name="_Toc19237"/>
      <w:bookmarkStart w:id="531" w:name="_Toc18057"/>
      <w:bookmarkStart w:id="532" w:name="_Toc16446"/>
      <w:bookmarkStart w:id="533" w:name="_Toc5359"/>
      <w:r>
        <w:rPr>
          <w:rStyle w:val="22"/>
        </w:rPr>
        <w:tab/>
      </w:r>
    </w:p>
    <w:p>
      <w:pPr>
        <w:tabs>
          <w:tab w:val="left" w:pos="2987"/>
          <w:tab w:val="center" w:pos="4458"/>
        </w:tabs>
        <w:spacing w:line="400" w:lineRule="exact"/>
        <w:jc w:val="left"/>
        <w:rPr>
          <w:rStyle w:val="22"/>
        </w:rPr>
      </w:pPr>
    </w:p>
    <w:p>
      <w:pPr>
        <w:tabs>
          <w:tab w:val="left" w:pos="2987"/>
          <w:tab w:val="center" w:pos="4458"/>
        </w:tabs>
        <w:spacing w:line="400" w:lineRule="exact"/>
        <w:jc w:val="center"/>
        <w:rPr>
          <w:rStyle w:val="22"/>
          <w:sz w:val="30"/>
          <w:szCs w:val="30"/>
        </w:rPr>
      </w:pPr>
      <w:r>
        <w:rPr>
          <w:rStyle w:val="22"/>
          <w:sz w:val="30"/>
          <w:szCs w:val="30"/>
        </w:rPr>
        <w:br w:type="page"/>
      </w:r>
      <w:bookmarkStart w:id="534" w:name="_Toc26485"/>
      <w:bookmarkStart w:id="535" w:name="_Toc6289"/>
      <w:bookmarkStart w:id="536" w:name="_Toc26593"/>
      <w:bookmarkStart w:id="537" w:name="_Toc4103"/>
      <w:bookmarkStart w:id="538" w:name="_Toc1922"/>
      <w:bookmarkStart w:id="539" w:name="_Toc15445"/>
      <w:bookmarkStart w:id="540" w:name="_Toc2965"/>
      <w:bookmarkStart w:id="541" w:name="_Hlk10474332"/>
      <w:r>
        <w:rPr>
          <w:rStyle w:val="22"/>
          <w:rFonts w:hint="eastAsia"/>
          <w:sz w:val="30"/>
          <w:szCs w:val="30"/>
        </w:rPr>
        <w:t>八、竞争性磋商文件规定的其他资料</w:t>
      </w:r>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Pr>
        <w:spacing w:line="400" w:lineRule="exact"/>
        <w:jc w:val="center"/>
        <w:rPr>
          <w:rStyle w:val="22"/>
        </w:rPr>
      </w:pPr>
    </w:p>
    <w:p>
      <w:pPr>
        <w:spacing w:line="400" w:lineRule="exact"/>
        <w:jc w:val="center"/>
        <w:rPr>
          <w:rStyle w:val="22"/>
        </w:rPr>
      </w:pPr>
    </w:p>
    <w:p>
      <w:pPr>
        <w:jc w:val="left"/>
      </w:pPr>
    </w:p>
    <w:p/>
    <w:p/>
    <w:p/>
    <w:p/>
    <w:p/>
    <w:p/>
    <w:p/>
    <w:p/>
    <w:p/>
    <w:p/>
    <w:p/>
    <w:p/>
    <w:p/>
    <w:p/>
    <w:p/>
    <w:p/>
    <w:p>
      <w:pPr>
        <w:jc w:val="left"/>
        <w:rPr>
          <w:b/>
          <w:bCs/>
          <w:szCs w:val="21"/>
        </w:rPr>
      </w:pPr>
      <w:r>
        <w:br w:type="page"/>
      </w:r>
      <w:r>
        <w:rPr>
          <w:rFonts w:hint="eastAsia"/>
          <w:b/>
          <w:bCs/>
          <w:szCs w:val="21"/>
        </w:rPr>
        <w:t>附件：供应商认为需要提供的其他资料</w:t>
      </w:r>
      <w:bookmarkStart w:id="542" w:name="_Toc7865"/>
      <w:bookmarkStart w:id="543" w:name="_Toc15034"/>
      <w:bookmarkStart w:id="544" w:name="_Toc31082"/>
      <w:bookmarkStart w:id="545" w:name="_Toc10725"/>
      <w:bookmarkStart w:id="546" w:name="_Toc4763"/>
      <w:bookmarkStart w:id="547" w:name="_Toc3429"/>
      <w:bookmarkStart w:id="548" w:name="_Toc23908"/>
      <w:bookmarkStart w:id="549" w:name="_Toc14820"/>
      <w:bookmarkStart w:id="550" w:name="_Toc26095"/>
    </w:p>
    <w:p>
      <w:pPr>
        <w:jc w:val="center"/>
        <w:rPr>
          <w:rFonts w:ascii="宋体" w:hAnsi="宋体" w:cs="宋体"/>
          <w:szCs w:val="21"/>
        </w:rPr>
      </w:pPr>
      <w:r>
        <w:rPr>
          <w:rFonts w:hint="eastAsia" w:ascii="宋体" w:hAnsi="宋体" w:cs="宋体"/>
          <w:szCs w:val="21"/>
        </w:rPr>
        <w:t>（1）中小企业申明函</w:t>
      </w:r>
      <w:bookmarkEnd w:id="542"/>
      <w:bookmarkEnd w:id="543"/>
      <w:bookmarkEnd w:id="544"/>
      <w:bookmarkEnd w:id="545"/>
      <w:bookmarkEnd w:id="546"/>
      <w:bookmarkEnd w:id="547"/>
      <w:bookmarkEnd w:id="548"/>
      <w:bookmarkEnd w:id="549"/>
      <w:bookmarkEnd w:id="550"/>
    </w:p>
    <w:p>
      <w:pPr>
        <w:spacing w:line="480" w:lineRule="exact"/>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w:t>
      </w:r>
      <w:r>
        <w:rPr>
          <w:rFonts w:hint="eastAsia" w:ascii="宋体" w:hAnsi="宋体"/>
          <w:szCs w:val="21"/>
          <w:u w:val="single"/>
        </w:rPr>
        <w:t xml:space="preserve">         </w:t>
      </w:r>
      <w:r>
        <w:rPr>
          <w:rFonts w:hint="eastAsia" w:ascii="宋体" w:hAnsi="宋体"/>
          <w:szCs w:val="21"/>
        </w:rPr>
        <w:t>（请填写：中型、小型、微型）企业。即，本公司同时满足以下条件：</w:t>
      </w:r>
    </w:p>
    <w:p>
      <w:pPr>
        <w:spacing w:line="48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Cs w:val="21"/>
          <w:u w:val="single"/>
        </w:rPr>
        <w:t xml:space="preserve">        </w:t>
      </w:r>
      <w:r>
        <w:rPr>
          <w:rFonts w:hint="eastAsia" w:ascii="宋体" w:hAnsi="宋体"/>
          <w:szCs w:val="21"/>
        </w:rPr>
        <w:t>（请填写：中型、小型、微型）企业。</w:t>
      </w:r>
    </w:p>
    <w:p>
      <w:pPr>
        <w:spacing w:line="480" w:lineRule="exact"/>
        <w:ind w:firstLine="420" w:firstLineChars="200"/>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   （请填写：中型、小型、微型）企业制造的货物。本条所称货物不包括使用大型企业注册商标的货物。</w:t>
      </w:r>
    </w:p>
    <w:p>
      <w:pPr>
        <w:spacing w:line="480" w:lineRule="exact"/>
        <w:ind w:firstLine="420" w:firstLineChars="200"/>
        <w:rPr>
          <w:rFonts w:ascii="宋体" w:hAnsi="宋体"/>
          <w:szCs w:val="21"/>
        </w:rPr>
      </w:pPr>
      <w:r>
        <w:rPr>
          <w:rFonts w:hint="eastAsia" w:ascii="宋体" w:hAnsi="宋体"/>
          <w:szCs w:val="21"/>
        </w:rPr>
        <w:t>本公司对上述声明的真实性负责。如有虚假，将依法承担相应责任。</w:t>
      </w:r>
    </w:p>
    <w:p>
      <w:pPr>
        <w:spacing w:line="480" w:lineRule="exact"/>
        <w:rPr>
          <w:rFonts w:ascii="宋体" w:hAnsi="宋体"/>
          <w:szCs w:val="21"/>
        </w:rPr>
      </w:pPr>
    </w:p>
    <w:p>
      <w:pPr>
        <w:spacing w:line="480" w:lineRule="exact"/>
        <w:rPr>
          <w:szCs w:val="21"/>
        </w:rPr>
      </w:pPr>
    </w:p>
    <w:p/>
    <w:p/>
    <w:p/>
    <w:p>
      <w:pPr>
        <w:spacing w:line="480" w:lineRule="exact"/>
        <w:rPr>
          <w:szCs w:val="21"/>
        </w:rPr>
      </w:pPr>
    </w:p>
    <w:p>
      <w:pPr>
        <w:spacing w:line="480" w:lineRule="exact"/>
        <w:ind w:firstLine="420" w:firstLineChars="200"/>
        <w:rPr>
          <w:rFonts w:ascii="宋体" w:hAnsi="宋体"/>
          <w:szCs w:val="21"/>
        </w:rPr>
      </w:pPr>
      <w:r>
        <w:rPr>
          <w:szCs w:val="21"/>
        </w:rPr>
        <w:t xml:space="preserve">                                                    </w:t>
      </w:r>
      <w:r>
        <w:rPr>
          <w:rFonts w:hint="eastAsia" w:ascii="宋体" w:hAnsi="宋体"/>
          <w:szCs w:val="21"/>
        </w:rPr>
        <w:t xml:space="preserve">  企业名称（盖章）： </w:t>
      </w:r>
    </w:p>
    <w:p>
      <w:pPr>
        <w:spacing w:line="480" w:lineRule="exact"/>
        <w:ind w:firstLine="5985" w:firstLineChars="2850"/>
        <w:rPr>
          <w:rFonts w:ascii="宋体" w:hAnsi="宋体"/>
          <w:szCs w:val="21"/>
        </w:rPr>
      </w:pPr>
      <w:r>
        <w:rPr>
          <w:rFonts w:hint="eastAsia" w:ascii="宋体" w:hAnsi="宋体"/>
          <w:szCs w:val="21"/>
        </w:rPr>
        <w:t>日 期：   年    月   日</w:t>
      </w:r>
    </w:p>
    <w:p/>
    <w:p>
      <w:pPr>
        <w:spacing w:line="460" w:lineRule="exact"/>
        <w:ind w:firstLine="482" w:firstLineChars="200"/>
        <w:rPr>
          <w:rFonts w:ascii="宋体" w:hAnsi="宋体" w:cs="宋体"/>
          <w:b/>
          <w:bCs/>
          <w:color w:val="000000"/>
          <w:sz w:val="24"/>
        </w:rPr>
      </w:pPr>
    </w:p>
    <w:p>
      <w:pPr>
        <w:spacing w:line="460" w:lineRule="exact"/>
        <w:ind w:firstLine="422" w:firstLineChars="200"/>
        <w:rPr>
          <w:rFonts w:ascii="宋体" w:hAnsi="宋体" w:cs="宋体"/>
          <w:color w:val="000000"/>
          <w:szCs w:val="21"/>
        </w:rPr>
      </w:pPr>
      <w:r>
        <w:rPr>
          <w:rFonts w:hint="eastAsia" w:ascii="宋体" w:hAnsi="宋体" w:cs="宋体"/>
          <w:b/>
          <w:bCs/>
          <w:color w:val="000000"/>
          <w:szCs w:val="21"/>
        </w:rPr>
        <w:t>注：</w:t>
      </w:r>
      <w:r>
        <w:rPr>
          <w:rFonts w:hint="eastAsia" w:ascii="宋体" w:hAnsi="宋体" w:cs="宋体"/>
          <w:color w:val="000000"/>
          <w:szCs w:val="21"/>
        </w:rPr>
        <w:t>财政部、工信部关于印发《政府采购促进中小企业发展暂行办法》的通知（财库〔2011〕181号）第二条规定：中小企业（含中型、小型、微型企业）应当同时符合以下条件：</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（一）符合中小企业划分标准（见工业和信息化部国家统计局国家发展和改革委员财政部《关于印发中小企业划型标准规定的通知》（工信部联企业〔2011〕300号)）；</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（二）提供本企业制造的货物、承担的工程或者服务，或者提供其他中小企业制造的货物。本项所称货物不包括使用大型企业注册商标的货物。</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本办法所称中小企业划分标准，是指国务院有关部门根据企业从业人员、营业收入、资产总额等指标制定的中小企业划型标准。</w:t>
      </w:r>
    </w:p>
    <w:p>
      <w:pPr>
        <w:spacing w:line="360" w:lineRule="auto"/>
        <w:rPr>
          <w:rFonts w:ascii="宋体" w:hAnsi="宋体" w:cs="宋体"/>
          <w:color w:val="000000"/>
          <w:szCs w:val="21"/>
        </w:rPr>
      </w:pPr>
      <w:r>
        <w:rPr>
          <w:rFonts w:hint="eastAsia" w:ascii="宋体" w:hAnsi="宋体" w:cs="宋体"/>
          <w:color w:val="000000"/>
          <w:szCs w:val="21"/>
        </w:rPr>
        <w:t>小型、微型企业提供中型企业制造的货物的，视同为中型企业。</w:t>
      </w:r>
    </w:p>
    <w:p>
      <w:pPr>
        <w:spacing w:line="588" w:lineRule="exact"/>
        <w:jc w:val="center"/>
        <w:rPr>
          <w:rFonts w:ascii="宋体" w:hAnsi="宋体" w:cs="宋体"/>
          <w:b/>
          <w:bCs/>
          <w:szCs w:val="21"/>
        </w:rPr>
      </w:pPr>
      <w:r>
        <w:rPr>
          <w:rFonts w:hint="eastAsia" w:ascii="宋体" w:hAnsi="宋体" w:cs="宋体"/>
          <w:bCs/>
          <w:color w:val="000000"/>
          <w:spacing w:val="6"/>
          <w:sz w:val="28"/>
          <w:szCs w:val="28"/>
        </w:rPr>
        <w:br w:type="page"/>
      </w:r>
      <w:bookmarkStart w:id="551" w:name="_Toc29316"/>
      <w:bookmarkStart w:id="552" w:name="_Toc29739"/>
      <w:bookmarkStart w:id="553" w:name="OLE_LINK13"/>
      <w:bookmarkStart w:id="554" w:name="OLE_LINK14"/>
      <w:r>
        <w:rPr>
          <w:rFonts w:hint="eastAsia" w:ascii="宋体" w:hAnsi="宋体" w:cs="宋体"/>
          <w:b/>
          <w:bCs/>
          <w:szCs w:val="21"/>
        </w:rPr>
        <w:t>（2）残疾人福利性单位声明函</w:t>
      </w:r>
      <w:bookmarkEnd w:id="551"/>
      <w:bookmarkEnd w:id="552"/>
    </w:p>
    <w:bookmarkEnd w:id="553"/>
    <w:bookmarkEnd w:id="554"/>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588" w:lineRule="exact"/>
        <w:ind w:firstLine="444" w:firstLineChars="200"/>
        <w:rPr>
          <w:rFonts w:ascii="宋体" w:hAnsi="宋体" w:cs="宋体"/>
          <w:color w:val="000000"/>
          <w:spacing w:val="6"/>
          <w:szCs w:val="21"/>
        </w:rPr>
      </w:pPr>
    </w:p>
    <w:p>
      <w:pPr>
        <w:spacing w:line="588" w:lineRule="exact"/>
        <w:ind w:firstLine="444" w:firstLineChars="200"/>
        <w:rPr>
          <w:rFonts w:ascii="宋体" w:hAnsi="宋体" w:cs="宋体"/>
          <w:color w:val="000000"/>
          <w:spacing w:val="6"/>
          <w:szCs w:val="21"/>
        </w:rPr>
      </w:pPr>
    </w:p>
    <w:p>
      <w:pPr>
        <w:tabs>
          <w:tab w:val="left" w:pos="4860"/>
        </w:tabs>
        <w:spacing w:line="588" w:lineRule="exact"/>
        <w:ind w:right="1560"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单位名称（盖章）：</w:t>
      </w:r>
    </w:p>
    <w:p>
      <w:pPr>
        <w:spacing w:line="360" w:lineRule="auto"/>
        <w:rPr>
          <w:rFonts w:ascii="宋体" w:hAnsi="宋体" w:cs="宋体"/>
          <w:szCs w:val="21"/>
        </w:rPr>
      </w:pPr>
      <w:r>
        <w:rPr>
          <w:rFonts w:hint="eastAsia" w:ascii="宋体" w:hAnsi="宋体" w:cs="宋体"/>
          <w:color w:val="000000"/>
          <w:spacing w:val="6"/>
          <w:szCs w:val="21"/>
        </w:rPr>
        <w:t xml:space="preserve">                                      日  期：</w:t>
      </w: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p>
      <w:pPr>
        <w:spacing w:line="440" w:lineRule="exact"/>
        <w:rPr>
          <w:rFonts w:ascii="宋体" w:hAnsi="宋体" w:cs="宋体"/>
          <w:szCs w:val="32"/>
        </w:rPr>
      </w:pPr>
    </w:p>
    <w:bookmarkEnd w:id="541"/>
    <w:p>
      <w:pPr>
        <w:spacing w:line="400" w:lineRule="exact"/>
        <w:jc w:val="center"/>
        <w:rPr>
          <w:rFonts w:ascii="宋体" w:hAnsi="宋体" w:cs="宋体"/>
          <w:b/>
          <w:bCs/>
          <w:spacing w:val="10"/>
          <w:sz w:val="36"/>
          <w:szCs w:val="36"/>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ind w:left="284" w:hanging="284"/>
      </w:pPr>
    </w:lvl>
    <w:lvl w:ilvl="1" w:tentative="0">
      <w:start w:val="1"/>
      <w:numFmt w:val="decimal"/>
      <w:lvlText w:val="%1.%2."/>
      <w:lvlJc w:val="left"/>
      <w:pPr>
        <w:ind w:left="993" w:hanging="283"/>
      </w:pPr>
      <w:rPr>
        <w:color w:val="auto"/>
      </w:rPr>
    </w:lvl>
    <w:lvl w:ilvl="2" w:tentative="0">
      <w:start w:val="1"/>
      <w:numFmt w:val="decimal"/>
      <w:lvlText w:val="%1.%2.%3"/>
      <w:lvlJc w:val="left"/>
      <w:pPr>
        <w:ind w:left="1134" w:hanging="567"/>
      </w:pPr>
    </w:lvl>
    <w:lvl w:ilvl="3" w:tentative="0">
      <w:start w:val="1"/>
      <w:numFmt w:val="decimal"/>
      <w:lvlText w:val="%1.%2.%3.%4"/>
      <w:lvlJc w:val="left"/>
      <w:pPr>
        <w:ind w:left="1418" w:hanging="567"/>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000000E"/>
    <w:multiLevelType w:val="multilevel"/>
    <w:tmpl w:val="0000000E"/>
    <w:lvl w:ilvl="0" w:tentative="0">
      <w:start w:val="1"/>
      <w:numFmt w:val="chineseCountingThousand"/>
      <w:lvlText w:val="（%1）"/>
      <w:lvlJc w:val="left"/>
      <w:pPr>
        <w:tabs>
          <w:tab w:val="left" w:pos="1080"/>
        </w:tabs>
        <w:ind w:left="147" w:hanging="147"/>
      </w:pPr>
    </w:lvl>
    <w:lvl w:ilvl="1" w:tentative="0">
      <w:start w:val="1"/>
      <w:numFmt w:val="decimal"/>
      <w:lvlText w:val="%2．"/>
      <w:lvlJc w:val="left"/>
      <w:pPr>
        <w:tabs>
          <w:tab w:val="left" w:pos="360"/>
        </w:tabs>
        <w:ind w:left="360" w:hanging="36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360"/>
        </w:tabs>
        <w:ind w:left="0" w:firstLine="0"/>
      </w:pPr>
    </w:lvl>
    <w:lvl w:ilvl="4" w:tentative="0">
      <w:start w:val="1"/>
      <w:numFmt w:val="lowerLetter"/>
      <w:lvlText w:val="%5)"/>
      <w:lvlJc w:val="left"/>
      <w:pPr>
        <w:tabs>
          <w:tab w:val="left" w:pos="1680"/>
        </w:tabs>
        <w:ind w:left="1680" w:hanging="420"/>
      </w:pPr>
    </w:lvl>
    <w:lvl w:ilvl="5" w:tentative="0">
      <w:start w:val="1"/>
      <w:numFmt w:val="japaneseCounting"/>
      <w:lvlText w:val="第%6章"/>
      <w:lvlJc w:val="left"/>
      <w:pPr>
        <w:tabs>
          <w:tab w:val="left" w:pos="2535"/>
        </w:tabs>
        <w:ind w:left="2535" w:hanging="855"/>
      </w:pPr>
    </w:lvl>
    <w:lvl w:ilvl="6" w:tentative="0">
      <w:start w:val="1"/>
      <w:numFmt w:val="decimal"/>
      <w:lvlText w:val="（%7）"/>
      <w:lvlJc w:val="left"/>
      <w:pPr>
        <w:tabs>
          <w:tab w:val="left" w:pos="1080"/>
        </w:tabs>
        <w:ind w:left="416" w:hanging="56"/>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
    <w:nsid w:val="3ADB121C"/>
    <w:multiLevelType w:val="singleLevel"/>
    <w:tmpl w:val="3ADB121C"/>
    <w:lvl w:ilvl="0" w:tentative="0">
      <w:start w:val="3"/>
      <w:numFmt w:val="chineseCounting"/>
      <w:suff w:val="nothing"/>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80"/>
    <w:rsid w:val="000A1FD8"/>
    <w:rsid w:val="000C5B64"/>
    <w:rsid w:val="001C57A1"/>
    <w:rsid w:val="002407BD"/>
    <w:rsid w:val="00296880"/>
    <w:rsid w:val="004730A3"/>
    <w:rsid w:val="004B25CE"/>
    <w:rsid w:val="004F3D08"/>
    <w:rsid w:val="007B5783"/>
    <w:rsid w:val="007D7D87"/>
    <w:rsid w:val="007F0E55"/>
    <w:rsid w:val="00824152"/>
    <w:rsid w:val="009712CE"/>
    <w:rsid w:val="00A60CFB"/>
    <w:rsid w:val="00B86E8F"/>
    <w:rsid w:val="00BC44A6"/>
    <w:rsid w:val="00C83845"/>
    <w:rsid w:val="00D22F1A"/>
    <w:rsid w:val="00DF1D6A"/>
    <w:rsid w:val="00EF5D96"/>
    <w:rsid w:val="00FF6895"/>
    <w:rsid w:val="0E753A10"/>
    <w:rsid w:val="14BC5857"/>
    <w:rsid w:val="198F6C30"/>
    <w:rsid w:val="2AD57F71"/>
    <w:rsid w:val="34D954A9"/>
    <w:rsid w:val="47AF40FA"/>
    <w:rsid w:val="57A5043C"/>
    <w:rsid w:val="59964F54"/>
    <w:rsid w:val="7132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
    <w:qFormat/>
    <w:uiPriority w:val="0"/>
    <w:pPr>
      <w:keepNext/>
      <w:keepLines/>
      <w:spacing w:line="360" w:lineRule="auto"/>
      <w:jc w:val="center"/>
      <w:outlineLvl w:val="0"/>
    </w:pPr>
    <w:rPr>
      <w:rFonts w:cs="宋体"/>
      <w:b/>
      <w:bCs/>
      <w:kern w:val="44"/>
      <w:sz w:val="32"/>
      <w:szCs w:val="44"/>
    </w:rPr>
  </w:style>
  <w:style w:type="paragraph" w:styleId="4">
    <w:name w:val="heading 2"/>
    <w:basedOn w:val="1"/>
    <w:next w:val="1"/>
    <w:link w:val="22"/>
    <w:unhideWhenUsed/>
    <w:qFormat/>
    <w:uiPriority w:val="0"/>
    <w:pPr>
      <w:keepNext/>
      <w:keepLines/>
      <w:spacing w:before="260" w:after="260" w:line="360" w:lineRule="auto"/>
      <w:jc w:val="center"/>
      <w:outlineLvl w:val="1"/>
    </w:pPr>
    <w:rPr>
      <w:rFonts w:ascii="Arial" w:hAnsi="Arial"/>
      <w:b/>
      <w:bCs/>
      <w:kern w:val="0"/>
      <w:sz w:val="24"/>
      <w:szCs w:val="32"/>
    </w:rPr>
  </w:style>
  <w:style w:type="paragraph" w:styleId="5">
    <w:name w:val="heading 3"/>
    <w:basedOn w:val="1"/>
    <w:next w:val="1"/>
    <w:link w:val="23"/>
    <w:semiHidden/>
    <w:unhideWhenUsed/>
    <w:qFormat/>
    <w:uiPriority w:val="0"/>
    <w:pPr>
      <w:keepNext/>
      <w:keepLines/>
      <w:spacing w:before="260" w:after="260" w:line="415" w:lineRule="auto"/>
      <w:jc w:val="center"/>
      <w:outlineLvl w:val="2"/>
    </w:pPr>
    <w:rPr>
      <w:rFonts w:cs="宋体"/>
      <w:b/>
      <w:bCs/>
      <w:kern w:val="0"/>
      <w:sz w:val="20"/>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24"/>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6">
    <w:name w:val="Body Text"/>
    <w:basedOn w:val="1"/>
    <w:link w:val="27"/>
    <w:semiHidden/>
    <w:unhideWhenUsed/>
    <w:qFormat/>
    <w:uiPriority w:val="99"/>
    <w:pPr>
      <w:spacing w:after="120"/>
    </w:p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link w:val="31"/>
    <w:unhideWhenUsed/>
    <w:qFormat/>
    <w:uiPriority w:val="0"/>
    <w:rPr>
      <w:rFonts w:ascii="宋体" w:hAnsi="Courier New"/>
      <w:szCs w:val="21"/>
    </w:rPr>
  </w:style>
  <w:style w:type="paragraph" w:styleId="9">
    <w:name w:val="Balloon Text"/>
    <w:basedOn w:val="1"/>
    <w:link w:val="32"/>
    <w:semiHidden/>
    <w:unhideWhenUsed/>
    <w:qFormat/>
    <w:uiPriority w:val="0"/>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toc 2"/>
    <w:basedOn w:val="1"/>
    <w:next w:val="1"/>
    <w:semiHidden/>
    <w:unhideWhenUsed/>
    <w:qFormat/>
    <w:uiPriority w:val="0"/>
    <w:pPr>
      <w:ind w:left="420" w:leftChars="200"/>
    </w:pPr>
  </w:style>
  <w:style w:type="paragraph" w:styleId="14">
    <w:name w:val="Normal (Web)"/>
    <w:basedOn w:val="1"/>
    <w:unhideWhenUsed/>
    <w:qFormat/>
    <w:uiPriority w:val="0"/>
    <w:pPr>
      <w:jc w:val="left"/>
    </w:pPr>
    <w:rPr>
      <w:kern w:val="0"/>
      <w:sz w:val="24"/>
    </w:rPr>
  </w:style>
  <w:style w:type="paragraph" w:styleId="15">
    <w:name w:val="Body Text First Indent"/>
    <w:basedOn w:val="6"/>
    <w:next w:val="16"/>
    <w:link w:val="30"/>
    <w:unhideWhenUsed/>
    <w:qFormat/>
    <w:uiPriority w:val="0"/>
    <w:pPr>
      <w:ind w:firstLine="420" w:firstLineChars="100"/>
    </w:pPr>
  </w:style>
  <w:style w:type="paragraph" w:styleId="16">
    <w:name w:val="Body Text First Indent 2"/>
    <w:basedOn w:val="7"/>
    <w:link w:val="29"/>
    <w:semiHidden/>
    <w:unhideWhenUsed/>
    <w:qFormat/>
    <w:uiPriority w:val="99"/>
    <w:pPr>
      <w:ind w:firstLine="420"/>
    </w:pPr>
  </w:style>
  <w:style w:type="character" w:styleId="19">
    <w:name w:val="FollowedHyperlink"/>
    <w:semiHidden/>
    <w:unhideWhenUsed/>
    <w:qFormat/>
    <w:uiPriority w:val="0"/>
    <w:rPr>
      <w:color w:val="800080"/>
      <w:u w:val="single"/>
    </w:rPr>
  </w:style>
  <w:style w:type="character" w:styleId="20">
    <w:name w:val="Hyperlink"/>
    <w:basedOn w:val="18"/>
    <w:semiHidden/>
    <w:unhideWhenUsed/>
    <w:qFormat/>
    <w:uiPriority w:val="0"/>
    <w:rPr>
      <w:color w:val="000000"/>
      <w:u w:val="none"/>
    </w:rPr>
  </w:style>
  <w:style w:type="character" w:customStyle="1" w:styleId="21">
    <w:name w:val="标题 1 Char"/>
    <w:basedOn w:val="18"/>
    <w:link w:val="3"/>
    <w:qFormat/>
    <w:uiPriority w:val="0"/>
    <w:rPr>
      <w:rFonts w:ascii="Calibri" w:hAnsi="Calibri" w:eastAsia="宋体" w:cs="宋体"/>
      <w:b/>
      <w:bCs/>
      <w:kern w:val="44"/>
      <w:sz w:val="32"/>
      <w:szCs w:val="44"/>
    </w:rPr>
  </w:style>
  <w:style w:type="character" w:customStyle="1" w:styleId="22">
    <w:name w:val="标题 2 Char"/>
    <w:basedOn w:val="18"/>
    <w:link w:val="4"/>
    <w:qFormat/>
    <w:uiPriority w:val="0"/>
    <w:rPr>
      <w:rFonts w:ascii="Arial" w:hAnsi="Arial" w:eastAsia="宋体" w:cs="Times New Roman"/>
      <w:b/>
      <w:bCs/>
      <w:kern w:val="0"/>
      <w:sz w:val="24"/>
      <w:szCs w:val="32"/>
    </w:rPr>
  </w:style>
  <w:style w:type="character" w:customStyle="1" w:styleId="23">
    <w:name w:val="标题 3 Char"/>
    <w:basedOn w:val="18"/>
    <w:link w:val="5"/>
    <w:semiHidden/>
    <w:qFormat/>
    <w:uiPriority w:val="0"/>
    <w:rPr>
      <w:rFonts w:ascii="Calibri" w:hAnsi="Calibri" w:eastAsia="宋体" w:cs="宋体"/>
      <w:b/>
      <w:bCs/>
      <w:kern w:val="0"/>
      <w:sz w:val="20"/>
      <w:szCs w:val="32"/>
    </w:rPr>
  </w:style>
  <w:style w:type="character" w:customStyle="1" w:styleId="24">
    <w:name w:val="信息标题 Char"/>
    <w:basedOn w:val="18"/>
    <w:link w:val="2"/>
    <w:semiHidden/>
    <w:qFormat/>
    <w:uiPriority w:val="0"/>
    <w:rPr>
      <w:rFonts w:asciiTheme="majorHAnsi" w:hAnsiTheme="majorHAnsi" w:eastAsiaTheme="majorEastAsia" w:cstheme="majorBidi"/>
      <w:sz w:val="24"/>
      <w:szCs w:val="24"/>
      <w:shd w:val="pct20" w:color="auto" w:fill="auto"/>
    </w:rPr>
  </w:style>
  <w:style w:type="character" w:customStyle="1" w:styleId="25">
    <w:name w:val="页眉 Char"/>
    <w:basedOn w:val="18"/>
    <w:link w:val="11"/>
    <w:qFormat/>
    <w:uiPriority w:val="99"/>
    <w:rPr>
      <w:rFonts w:ascii="Calibri" w:hAnsi="Calibri" w:eastAsia="宋体" w:cs="Times New Roman"/>
      <w:sz w:val="18"/>
      <w:szCs w:val="18"/>
    </w:rPr>
  </w:style>
  <w:style w:type="character" w:customStyle="1" w:styleId="26">
    <w:name w:val="页脚 Char"/>
    <w:basedOn w:val="18"/>
    <w:link w:val="10"/>
    <w:qFormat/>
    <w:uiPriority w:val="99"/>
    <w:rPr>
      <w:rFonts w:ascii="Calibri" w:hAnsi="Calibri" w:eastAsia="宋体" w:cs="Times New Roman"/>
      <w:sz w:val="18"/>
      <w:szCs w:val="18"/>
    </w:rPr>
  </w:style>
  <w:style w:type="character" w:customStyle="1" w:styleId="27">
    <w:name w:val="正文文本 Char"/>
    <w:basedOn w:val="18"/>
    <w:link w:val="6"/>
    <w:semiHidden/>
    <w:qFormat/>
    <w:uiPriority w:val="99"/>
    <w:rPr>
      <w:rFonts w:ascii="Calibri" w:hAnsi="Calibri" w:eastAsia="宋体" w:cs="Times New Roman"/>
      <w:szCs w:val="24"/>
    </w:rPr>
  </w:style>
  <w:style w:type="character" w:customStyle="1" w:styleId="28">
    <w:name w:val="正文文本缩进 Char"/>
    <w:basedOn w:val="18"/>
    <w:link w:val="7"/>
    <w:semiHidden/>
    <w:qFormat/>
    <w:uiPriority w:val="99"/>
    <w:rPr>
      <w:rFonts w:ascii="Calibri" w:hAnsi="Calibri" w:eastAsia="宋体" w:cs="Times New Roman"/>
      <w:szCs w:val="24"/>
    </w:rPr>
  </w:style>
  <w:style w:type="character" w:customStyle="1" w:styleId="29">
    <w:name w:val="正文首行缩进 2 Char"/>
    <w:basedOn w:val="28"/>
    <w:link w:val="16"/>
    <w:semiHidden/>
    <w:qFormat/>
    <w:uiPriority w:val="99"/>
    <w:rPr>
      <w:rFonts w:ascii="Calibri" w:hAnsi="Calibri" w:eastAsia="宋体" w:cs="Times New Roman"/>
      <w:szCs w:val="24"/>
    </w:rPr>
  </w:style>
  <w:style w:type="character" w:customStyle="1" w:styleId="30">
    <w:name w:val="正文首行缩进 Char"/>
    <w:basedOn w:val="27"/>
    <w:link w:val="15"/>
    <w:qFormat/>
    <w:uiPriority w:val="0"/>
    <w:rPr>
      <w:rFonts w:ascii="Calibri" w:hAnsi="Calibri" w:eastAsia="宋体" w:cs="Times New Roman"/>
      <w:szCs w:val="24"/>
    </w:rPr>
  </w:style>
  <w:style w:type="character" w:customStyle="1" w:styleId="31">
    <w:name w:val="纯文本 Char"/>
    <w:basedOn w:val="18"/>
    <w:link w:val="8"/>
    <w:qFormat/>
    <w:uiPriority w:val="0"/>
    <w:rPr>
      <w:rFonts w:ascii="宋体" w:hAnsi="Courier New" w:eastAsia="宋体" w:cs="Times New Roman"/>
      <w:szCs w:val="21"/>
    </w:rPr>
  </w:style>
  <w:style w:type="character" w:customStyle="1" w:styleId="32">
    <w:name w:val="批注框文本 Char"/>
    <w:basedOn w:val="18"/>
    <w:link w:val="9"/>
    <w:semiHidden/>
    <w:qFormat/>
    <w:uiPriority w:val="0"/>
    <w:rPr>
      <w:rFonts w:ascii="Calibri" w:hAnsi="Calibri" w:eastAsia="宋体" w:cs="Times New Roman"/>
      <w:sz w:val="18"/>
      <w:szCs w:val="18"/>
    </w:rPr>
  </w:style>
  <w:style w:type="paragraph" w:customStyle="1" w:styleId="33">
    <w:name w:val="样式 标题 1 + 黑体 三号 非加粗 居中 段前: 6 磅 段后: 6 磅 行距: 固定值 20 磅"/>
    <w:basedOn w:val="3"/>
    <w:qFormat/>
    <w:uiPriority w:val="0"/>
    <w:pPr>
      <w:spacing w:before="120" w:after="120" w:line="400" w:lineRule="exact"/>
    </w:pPr>
    <w:rPr>
      <w:rFonts w:ascii="黑体" w:hAnsi="黑体" w:eastAsia="黑体"/>
      <w:b w:val="0"/>
      <w:bCs w:val="0"/>
      <w:szCs w:val="20"/>
    </w:rPr>
  </w:style>
  <w:style w:type="paragraph" w:customStyle="1" w:styleId="34">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5">
    <w:name w:val="Table Paragraph"/>
    <w:basedOn w:val="1"/>
    <w:qFormat/>
    <w:uiPriority w:val="1"/>
    <w:rPr>
      <w:rFonts w:ascii="宋体" w:hAnsi="宋体" w:cs="宋体"/>
      <w:lang w:val="zh-CN" w:bidi="zh-CN"/>
    </w:rPr>
  </w:style>
  <w:style w:type="character" w:customStyle="1" w:styleId="36">
    <w:name w:val="标题 1 字符"/>
    <w:qFormat/>
    <w:uiPriority w:val="0"/>
    <w:rPr>
      <w:rFonts w:hint="default"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2751</Words>
  <Characters>15685</Characters>
  <Lines>130</Lines>
  <Paragraphs>36</Paragraphs>
  <TotalTime>3</TotalTime>
  <ScaleCrop>false</ScaleCrop>
  <LinksUpToDate>false</LinksUpToDate>
  <CharactersWithSpaces>18400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2019-10-30T02:40:00Z</dcterms:created>
  <dc:creator>河南英典工程管理有限公司:张士伟</dc:creator>
  <cp:lastModifiedBy>河南英典工程管理有限公司:张士伟</cp:lastModifiedBy>
  <dcterms:modified xsi:type="dcterms:W3CDTF">2019-11-19T07:53:56Z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